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168C3" w14:textId="77777777" w:rsidR="004C420E" w:rsidRDefault="00D258D7" w:rsidP="00650AE4">
      <w:pPr>
        <w:spacing w:after="0"/>
        <w:rPr>
          <w:b/>
          <w:bCs/>
          <w:sz w:val="28"/>
          <w:szCs w:val="28"/>
        </w:rPr>
      </w:pPr>
      <w:r>
        <w:rPr>
          <w:noProof/>
          <w:lang w:eastAsia="en-GB"/>
        </w:rPr>
        <mc:AlternateContent>
          <mc:Choice Requires="wps">
            <w:drawing>
              <wp:anchor distT="0" distB="0" distL="114300" distR="114300" simplePos="0" relativeHeight="251661312" behindDoc="0" locked="0" layoutInCell="1" allowOverlap="1" wp14:anchorId="5A8949E9" wp14:editId="04ADC5E3">
                <wp:simplePos x="0" y="0"/>
                <wp:positionH relativeFrom="column">
                  <wp:posOffset>0</wp:posOffset>
                </wp:positionH>
                <wp:positionV relativeFrom="margin">
                  <wp:align>top</wp:align>
                </wp:positionV>
                <wp:extent cx="6652260" cy="774700"/>
                <wp:effectExtent l="0" t="0" r="15240" b="25400"/>
                <wp:wrapTopAndBottom/>
                <wp:docPr id="2" name="Text Box 2"/>
                <wp:cNvGraphicFramePr/>
                <a:graphic xmlns:a="http://schemas.openxmlformats.org/drawingml/2006/main">
                  <a:graphicData uri="http://schemas.microsoft.com/office/word/2010/wordprocessingShape">
                    <wps:wsp>
                      <wps:cNvSpPr txBox="1"/>
                      <wps:spPr>
                        <a:xfrm>
                          <a:off x="0" y="0"/>
                          <a:ext cx="6652260" cy="774700"/>
                        </a:xfrm>
                        <a:prstGeom prst="rect">
                          <a:avLst/>
                        </a:prstGeom>
                        <a:noFill/>
                        <a:ln w="6350">
                          <a:solidFill>
                            <a:prstClr val="black"/>
                          </a:solidFill>
                        </a:ln>
                        <a:effectLst/>
                      </wps:spPr>
                      <wps:txbx>
                        <w:txbxContent>
                          <w:p w14:paraId="38EF5C02" w14:textId="75CFE8DE" w:rsidR="00D258D7" w:rsidRPr="00A959F1" w:rsidRDefault="00D258D7" w:rsidP="009816F5">
                            <w:pPr>
                              <w:shd w:val="clear" w:color="auto" w:fill="D9D9D9" w:themeFill="background1" w:themeFillShade="D9"/>
                              <w:jc w:val="center"/>
                              <w:rPr>
                                <w:sz w:val="36"/>
                                <w:szCs w:val="36"/>
                              </w:rPr>
                            </w:pPr>
                            <w:r>
                              <w:rPr>
                                <w:sz w:val="36"/>
                                <w:szCs w:val="36"/>
                              </w:rPr>
                              <w:t xml:space="preserve">Terms of Reference for the </w:t>
                            </w:r>
                            <w:r w:rsidR="005371DC">
                              <w:rPr>
                                <w:sz w:val="36"/>
                                <w:szCs w:val="36"/>
                              </w:rPr>
                              <w:t>Vulnerable Pupils portfolio</w:t>
                            </w:r>
                            <w:r w:rsidR="00650AE4">
                              <w:rPr>
                                <w:sz w:val="36"/>
                                <w:szCs w:val="36"/>
                              </w:rPr>
                              <w:t xml:space="preserve"> (including SEND and Pupil Premium)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A8949E9" id="_x0000_t202" coordsize="21600,21600" o:spt="202" path="m,l,21600r21600,l21600,xe">
                <v:stroke joinstyle="miter"/>
                <v:path gradientshapeok="t" o:connecttype="rect"/>
              </v:shapetype>
              <v:shape id="Text Box 2" o:spid="_x0000_s1026" type="#_x0000_t202" style="position:absolute;margin-left:0;margin-top:0;width:523.8pt;height:61pt;z-index:251661312;visibility:visible;mso-wrap-style:non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" filled="f" strokeweight=".5pt">
                <v:textbox>
                  <w:txbxContent>
                    <w:p w14:paraId="38EF5C02" w14:textId="75CFE8DE" w:rsidR="00D258D7" w:rsidRPr="00A959F1" w:rsidRDefault="00D258D7" w:rsidP="009816F5">
                      <w:pPr>
                        <w:shd w:val="clear" w:color="auto" w:fill="D9D9D9" w:themeFill="background1" w:themeFillShade="D9"/>
                        <w:jc w:val="center"/>
                        <w:rPr>
                          <w:sz w:val="36"/>
                          <w:szCs w:val="36"/>
                        </w:rPr>
                      </w:pPr>
                      <w:r>
                        <w:rPr>
                          <w:sz w:val="36"/>
                          <w:szCs w:val="36"/>
                        </w:rPr>
                        <w:t xml:space="preserve">Terms of Reference for the </w:t>
                      </w:r>
                      <w:r w:rsidR="005371DC">
                        <w:rPr>
                          <w:sz w:val="36"/>
                          <w:szCs w:val="36"/>
                        </w:rPr>
                        <w:t>Vulnerable Pupils portfolio</w:t>
                      </w:r>
                      <w:r w:rsidR="00650AE4">
                        <w:rPr>
                          <w:sz w:val="36"/>
                          <w:szCs w:val="36"/>
                        </w:rPr>
                        <w:t xml:space="preserve"> (including SEND and Pupil Premium)</w:t>
                      </w:r>
                    </w:p>
                  </w:txbxContent>
                </v:textbox>
                <w10:wrap type="topAndBottom" anchory="margin"/>
              </v:shape>
            </w:pict>
          </mc:Fallback>
        </mc:AlternateContent>
      </w:r>
    </w:p>
    <w:p w14:paraId="16EC5218" w14:textId="77777777" w:rsidR="009A3878" w:rsidRDefault="009A3878" w:rsidP="005371DC">
      <w:pPr>
        <w:rPr>
          <w:b/>
          <w:bCs/>
          <w:sz w:val="24"/>
          <w:szCs w:val="24"/>
        </w:rPr>
      </w:pPr>
      <w:r>
        <w:rPr>
          <w:b/>
          <w:bCs/>
          <w:sz w:val="24"/>
          <w:szCs w:val="24"/>
        </w:rPr>
        <w:t>School Year: 2023-24</w:t>
      </w:r>
    </w:p>
    <w:p w14:paraId="540E9C4D" w14:textId="6EB4534B" w:rsidR="25C97376" w:rsidRPr="005371DC" w:rsidRDefault="63AE0767" w:rsidP="005371DC">
      <w:pPr>
        <w:rPr>
          <w:i/>
          <w:iCs/>
          <w:color w:val="4F81BD" w:themeColor="accent1"/>
          <w:sz w:val="18"/>
          <w:szCs w:val="18"/>
        </w:rPr>
      </w:pPr>
      <w:r w:rsidRPr="25C97376">
        <w:rPr>
          <w:b/>
          <w:bCs/>
          <w:sz w:val="24"/>
          <w:szCs w:val="24"/>
        </w:rPr>
        <w:t xml:space="preserve">Lead governor / portfolio holder: </w:t>
      </w:r>
      <w:r w:rsidR="00ED7B92">
        <w:rPr>
          <w:b/>
          <w:bCs/>
          <w:sz w:val="24"/>
          <w:szCs w:val="24"/>
        </w:rPr>
        <w:t>Ruth Walters</w:t>
      </w:r>
    </w:p>
    <w:p w14:paraId="3B452A68" w14:textId="77777777" w:rsidR="63AE0767" w:rsidRDefault="63AE0767" w:rsidP="25C97376">
      <w:pPr>
        <w:rPr>
          <w:b/>
          <w:bCs/>
          <w:sz w:val="24"/>
          <w:szCs w:val="24"/>
        </w:rPr>
      </w:pPr>
      <w:r w:rsidRPr="25C97376">
        <w:rPr>
          <w:b/>
          <w:bCs/>
          <w:sz w:val="24"/>
          <w:szCs w:val="24"/>
        </w:rPr>
        <w:t>Duties which are delegated to this governor/trustee / this committee:</w:t>
      </w:r>
    </w:p>
    <w:p w14:paraId="0FACDB24" w14:textId="54080F00" w:rsidR="25C97376" w:rsidRDefault="63AE0767" w:rsidP="25C97376">
      <w:pPr>
        <w:rPr>
          <w:i/>
          <w:iCs/>
          <w:sz w:val="22"/>
        </w:rPr>
      </w:pPr>
      <w:r w:rsidRPr="25C97376">
        <w:rPr>
          <w:i/>
          <w:iCs/>
          <w:sz w:val="22"/>
        </w:rPr>
        <w:t>Governing boards may use their powers to delegate functions and decisions to committees or individual governor/trustees. It is the overall governing board, however, that in all cases remains accountable in law and to Ofsted for the exercise of its functions. (Governance Handbook.)</w:t>
      </w:r>
    </w:p>
    <w:tbl>
      <w:tblPr>
        <w:tblStyle w:val="TableGrid"/>
        <w:tblW w:w="0" w:type="auto"/>
        <w:tblLook w:val="04A0" w:firstRow="1" w:lastRow="0" w:firstColumn="1" w:lastColumn="0" w:noHBand="0" w:noVBand="1"/>
      </w:tblPr>
      <w:tblGrid>
        <w:gridCol w:w="10081"/>
        <w:gridCol w:w="375"/>
      </w:tblGrid>
      <w:tr w:rsidR="25C97376" w14:paraId="1E63D400" w14:textId="77777777" w:rsidTr="00A57765">
        <w:tc>
          <w:tcPr>
            <w:tcW w:w="10081" w:type="dxa"/>
          </w:tcPr>
          <w:p w14:paraId="3BA60DF5" w14:textId="31769645" w:rsidR="25C97376" w:rsidRDefault="25C97376" w:rsidP="25C97376">
            <w:pPr>
              <w:rPr>
                <w:sz w:val="22"/>
              </w:rPr>
            </w:pPr>
            <w:r w:rsidRPr="25C97376">
              <w:rPr>
                <w:sz w:val="22"/>
              </w:rPr>
              <w:t xml:space="preserve">To ensure that the requirements of children with Special Education Needs and Disabilities are being met by developing a SEND Policy, including provision for </w:t>
            </w:r>
            <w:r w:rsidR="00567700">
              <w:rPr>
                <w:sz w:val="22"/>
              </w:rPr>
              <w:t>More Able</w:t>
            </w:r>
            <w:r w:rsidRPr="25C97376">
              <w:rPr>
                <w:sz w:val="22"/>
              </w:rPr>
              <w:t xml:space="preserve"> children to recommend to the full governing board.  Highlight any resourcing/finance/staffing issues to the Resources committee</w:t>
            </w:r>
          </w:p>
          <w:p w14:paraId="28C2FA5A" w14:textId="77777777" w:rsidR="25C97376" w:rsidRDefault="25C97376" w:rsidP="25C97376">
            <w:pPr>
              <w:rPr>
                <w:sz w:val="22"/>
              </w:rPr>
            </w:pPr>
          </w:p>
        </w:tc>
        <w:tc>
          <w:tcPr>
            <w:tcW w:w="375" w:type="dxa"/>
          </w:tcPr>
          <w:p w14:paraId="2FBCF528" w14:textId="77777777" w:rsidR="25C97376" w:rsidRDefault="25C97376" w:rsidP="25C97376">
            <w:pPr>
              <w:rPr>
                <w:sz w:val="22"/>
              </w:rPr>
            </w:pPr>
            <w:r w:rsidRPr="25C97376">
              <w:rPr>
                <w:sz w:val="22"/>
              </w:rPr>
              <w:t>R</w:t>
            </w:r>
          </w:p>
        </w:tc>
      </w:tr>
      <w:tr w:rsidR="25C97376" w14:paraId="1CD0BADF" w14:textId="77777777" w:rsidTr="00A57765">
        <w:tc>
          <w:tcPr>
            <w:tcW w:w="10081" w:type="dxa"/>
          </w:tcPr>
          <w:p w14:paraId="5292EDD4" w14:textId="77777777" w:rsidR="25C97376" w:rsidRDefault="25C97376" w:rsidP="25C97376">
            <w:pPr>
              <w:rPr>
                <w:sz w:val="22"/>
              </w:rPr>
            </w:pPr>
            <w:r w:rsidRPr="25C97376">
              <w:rPr>
                <w:sz w:val="22"/>
              </w:rPr>
              <w:t xml:space="preserve">Monitor the implementation and effectiveness of the agreed SEND policy and report to full governing board.  Ensure relevant information relating to SEN is published on the school website. </w:t>
            </w:r>
          </w:p>
          <w:p w14:paraId="3620B572" w14:textId="77777777" w:rsidR="25C97376" w:rsidRDefault="25C97376" w:rsidP="25C97376">
            <w:pPr>
              <w:rPr>
                <w:sz w:val="22"/>
              </w:rPr>
            </w:pPr>
          </w:p>
        </w:tc>
        <w:tc>
          <w:tcPr>
            <w:tcW w:w="375" w:type="dxa"/>
          </w:tcPr>
          <w:p w14:paraId="61F43119" w14:textId="77777777" w:rsidR="25C97376" w:rsidRDefault="25C97376" w:rsidP="25C97376">
            <w:pPr>
              <w:rPr>
                <w:sz w:val="22"/>
              </w:rPr>
            </w:pPr>
            <w:r w:rsidRPr="25C97376">
              <w:rPr>
                <w:sz w:val="22"/>
              </w:rPr>
              <w:t>D</w:t>
            </w:r>
          </w:p>
        </w:tc>
      </w:tr>
      <w:tr w:rsidR="25C97376" w14:paraId="2CDA9D9E" w14:textId="77777777" w:rsidTr="00A57765">
        <w:tc>
          <w:tcPr>
            <w:tcW w:w="10081" w:type="dxa"/>
          </w:tcPr>
          <w:p w14:paraId="3E6BA8D7" w14:textId="4F0118EA" w:rsidR="25C97376" w:rsidRDefault="25C97376" w:rsidP="25C97376">
            <w:pPr>
              <w:rPr>
                <w:sz w:val="22"/>
              </w:rPr>
            </w:pPr>
            <w:r w:rsidRPr="2B87F422">
              <w:rPr>
                <w:sz w:val="22"/>
              </w:rPr>
              <w:t xml:space="preserve">To ensure the needs of </w:t>
            </w:r>
            <w:r w:rsidRPr="2B87F422">
              <w:rPr>
                <w:i/>
                <w:iCs/>
                <w:sz w:val="22"/>
              </w:rPr>
              <w:t>all</w:t>
            </w:r>
            <w:r w:rsidRPr="2B87F422">
              <w:rPr>
                <w:sz w:val="22"/>
              </w:rPr>
              <w:t xml:space="preserve"> pupils are met by ensuring the relevant policies, practices and procedures are in place and being implemented effectively for all vulnerable groups.  (Including: children in care; children with medical needs in school; children with English as a second language; children who attract additional funding – such as Pupil Premium, Sports Grant, Free School Meals - ; ethnic minority and traveller children; forces children etc.)</w:t>
            </w:r>
          </w:p>
        </w:tc>
        <w:tc>
          <w:tcPr>
            <w:tcW w:w="375" w:type="dxa"/>
          </w:tcPr>
          <w:p w14:paraId="45913041" w14:textId="77777777" w:rsidR="25C97376" w:rsidRDefault="25C97376" w:rsidP="25C97376">
            <w:pPr>
              <w:rPr>
                <w:sz w:val="22"/>
              </w:rPr>
            </w:pPr>
            <w:r w:rsidRPr="25C97376">
              <w:rPr>
                <w:sz w:val="22"/>
              </w:rPr>
              <w:t>D</w:t>
            </w:r>
          </w:p>
        </w:tc>
      </w:tr>
      <w:tr w:rsidR="25C97376" w14:paraId="6FD3623C" w14:textId="77777777" w:rsidTr="00A57765">
        <w:tc>
          <w:tcPr>
            <w:tcW w:w="10081" w:type="dxa"/>
          </w:tcPr>
          <w:p w14:paraId="112CF0C4" w14:textId="4F88EA67" w:rsidR="25C97376" w:rsidRDefault="25C97376" w:rsidP="25C97376">
            <w:pPr>
              <w:rPr>
                <w:sz w:val="22"/>
              </w:rPr>
            </w:pPr>
            <w:r w:rsidRPr="2B87F422">
              <w:rPr>
                <w:sz w:val="22"/>
              </w:rPr>
              <w:t>Ensure that governors involved with SEND monitoring have current valid training to support their role.</w:t>
            </w:r>
          </w:p>
        </w:tc>
        <w:tc>
          <w:tcPr>
            <w:tcW w:w="375" w:type="dxa"/>
          </w:tcPr>
          <w:p w14:paraId="667F4362" w14:textId="77777777" w:rsidR="25C97376" w:rsidRDefault="25C97376" w:rsidP="25C97376">
            <w:pPr>
              <w:rPr>
                <w:sz w:val="22"/>
              </w:rPr>
            </w:pPr>
            <w:r w:rsidRPr="25C97376">
              <w:rPr>
                <w:sz w:val="22"/>
              </w:rPr>
              <w:t>D</w:t>
            </w:r>
          </w:p>
        </w:tc>
      </w:tr>
      <w:tr w:rsidR="25C97376" w14:paraId="16B5775D" w14:textId="77777777" w:rsidTr="00A57765">
        <w:tc>
          <w:tcPr>
            <w:tcW w:w="10081" w:type="dxa"/>
          </w:tcPr>
          <w:p w14:paraId="162E533C" w14:textId="23E5FFA4" w:rsidR="25C97376" w:rsidRDefault="25C97376" w:rsidP="25C97376">
            <w:pPr>
              <w:rPr>
                <w:sz w:val="22"/>
              </w:rPr>
            </w:pPr>
            <w:r w:rsidRPr="25C97376">
              <w:rPr>
                <w:sz w:val="22"/>
              </w:rPr>
              <w:t xml:space="preserve">To ensure that the school meets the statutory requirements relating to equality legislation including providing information (or an agreed policy) on the school website to comply with the Public Sector Equality Duty. </w:t>
            </w:r>
          </w:p>
        </w:tc>
        <w:tc>
          <w:tcPr>
            <w:tcW w:w="375" w:type="dxa"/>
          </w:tcPr>
          <w:p w14:paraId="16277F16" w14:textId="77777777" w:rsidR="25C97376" w:rsidRDefault="25C97376" w:rsidP="25C97376">
            <w:pPr>
              <w:rPr>
                <w:sz w:val="22"/>
              </w:rPr>
            </w:pPr>
            <w:r w:rsidRPr="25C97376">
              <w:rPr>
                <w:sz w:val="22"/>
              </w:rPr>
              <w:t>D</w:t>
            </w:r>
          </w:p>
        </w:tc>
      </w:tr>
      <w:tr w:rsidR="25C97376" w14:paraId="284EBCF2" w14:textId="77777777" w:rsidTr="00A57765">
        <w:tc>
          <w:tcPr>
            <w:tcW w:w="10081" w:type="dxa"/>
          </w:tcPr>
          <w:p w14:paraId="5D8FC68F" w14:textId="5B8C0C44" w:rsidR="25C97376" w:rsidRDefault="25C97376" w:rsidP="25C97376">
            <w:pPr>
              <w:rPr>
                <w:sz w:val="22"/>
              </w:rPr>
            </w:pPr>
            <w:r w:rsidRPr="2B87F422">
              <w:rPr>
                <w:sz w:val="22"/>
              </w:rPr>
              <w:t>To ensure the governing board meets their statutory duty to be involved in the formulation of the ‘Local Offer’ with the Local Authority. (The LA has a legal duty to involve parents, children &amp; young people in the development of the local offer, i.e. what can be expected for all children &amp; young people with SEND)</w:t>
            </w:r>
          </w:p>
        </w:tc>
        <w:tc>
          <w:tcPr>
            <w:tcW w:w="375" w:type="dxa"/>
          </w:tcPr>
          <w:p w14:paraId="0024F2C3" w14:textId="77777777" w:rsidR="25C97376" w:rsidRDefault="25C97376" w:rsidP="25C97376">
            <w:pPr>
              <w:rPr>
                <w:sz w:val="22"/>
              </w:rPr>
            </w:pPr>
            <w:r w:rsidRPr="25C97376">
              <w:rPr>
                <w:sz w:val="22"/>
              </w:rPr>
              <w:t>D</w:t>
            </w:r>
          </w:p>
        </w:tc>
      </w:tr>
      <w:tr w:rsidR="25C97376" w14:paraId="0C14E5FB" w14:textId="77777777" w:rsidTr="00A57765">
        <w:tc>
          <w:tcPr>
            <w:tcW w:w="10081" w:type="dxa"/>
          </w:tcPr>
          <w:p w14:paraId="5B3D484E" w14:textId="6D3E6EA8" w:rsidR="25C97376" w:rsidRDefault="25C97376" w:rsidP="25C97376">
            <w:pPr>
              <w:rPr>
                <w:sz w:val="22"/>
              </w:rPr>
            </w:pPr>
            <w:r w:rsidRPr="2B87F422">
              <w:rPr>
                <w:sz w:val="22"/>
              </w:rPr>
              <w:t>To monitor and evaluate the impact of Year 7 Catch-up Premium, Pupil Premium and Sports Grant funding and report to full governing board.  Ensure information is published on the school website to show how the money has been spent.</w:t>
            </w:r>
          </w:p>
        </w:tc>
        <w:tc>
          <w:tcPr>
            <w:tcW w:w="375" w:type="dxa"/>
          </w:tcPr>
          <w:p w14:paraId="7FFCB665" w14:textId="10403855" w:rsidR="25C97376" w:rsidRDefault="34877A67" w:rsidP="25C97376">
            <w:pPr>
              <w:rPr>
                <w:sz w:val="22"/>
              </w:rPr>
            </w:pPr>
            <w:r w:rsidRPr="2B87F422">
              <w:rPr>
                <w:sz w:val="22"/>
              </w:rPr>
              <w:t>D</w:t>
            </w:r>
          </w:p>
          <w:p w14:paraId="5BA96923" w14:textId="1B3F6FF8" w:rsidR="25C97376" w:rsidRDefault="25C97376" w:rsidP="25C97376">
            <w:pPr>
              <w:rPr>
                <w:sz w:val="22"/>
              </w:rPr>
            </w:pPr>
          </w:p>
        </w:tc>
      </w:tr>
      <w:tr w:rsidR="25C97376" w14:paraId="42D68FC3" w14:textId="77777777" w:rsidTr="00A57765">
        <w:tc>
          <w:tcPr>
            <w:tcW w:w="10081" w:type="dxa"/>
          </w:tcPr>
          <w:p w14:paraId="0D0E60B2" w14:textId="0578CA08" w:rsidR="25C97376" w:rsidRDefault="25C97376" w:rsidP="25C97376">
            <w:pPr>
              <w:rPr>
                <w:sz w:val="22"/>
              </w:rPr>
            </w:pPr>
            <w:r w:rsidRPr="2B87F422">
              <w:rPr>
                <w:sz w:val="22"/>
              </w:rPr>
              <w:t>Ensure an attendance register is taken daily at school. Monitor pupil attendance and set targets as necessary.  Review and evaluate progress towards these targets.  Monitor exclusion procedures and exclusion data, including pupils on a part time curriculum.  Have due regard for children potentially missing from education.  Review the Attendance Policy.</w:t>
            </w:r>
          </w:p>
        </w:tc>
        <w:tc>
          <w:tcPr>
            <w:tcW w:w="375" w:type="dxa"/>
          </w:tcPr>
          <w:p w14:paraId="682E9DCB" w14:textId="77777777" w:rsidR="25C97376" w:rsidRDefault="25C97376" w:rsidP="25C97376">
            <w:pPr>
              <w:rPr>
                <w:sz w:val="22"/>
              </w:rPr>
            </w:pPr>
            <w:r w:rsidRPr="25C97376">
              <w:rPr>
                <w:sz w:val="22"/>
              </w:rPr>
              <w:t>D</w:t>
            </w:r>
          </w:p>
        </w:tc>
      </w:tr>
      <w:tr w:rsidR="25C97376" w14:paraId="6A8C7F33" w14:textId="77777777" w:rsidTr="00A57765">
        <w:tc>
          <w:tcPr>
            <w:tcW w:w="10081" w:type="dxa"/>
          </w:tcPr>
          <w:p w14:paraId="4FAFCA44" w14:textId="2291EF5F" w:rsidR="25C97376" w:rsidRDefault="25C97376" w:rsidP="25C97376">
            <w:pPr>
              <w:rPr>
                <w:sz w:val="22"/>
              </w:rPr>
            </w:pPr>
            <w:r w:rsidRPr="2B87F422">
              <w:rPr>
                <w:sz w:val="22"/>
              </w:rPr>
              <w:t xml:space="preserve">To review and agree, with the </w:t>
            </w:r>
            <w:proofErr w:type="spellStart"/>
            <w:r w:rsidRPr="2B87F422">
              <w:rPr>
                <w:sz w:val="22"/>
              </w:rPr>
              <w:t>headteacher</w:t>
            </w:r>
            <w:proofErr w:type="spellEnd"/>
            <w:r w:rsidRPr="2B87F422">
              <w:rPr>
                <w:sz w:val="22"/>
              </w:rPr>
              <w:t>, the Behaviour Policy and Behaviour Principles.  Ensure the Policy and relevant information is published on the school website and there is continuity of application throughout the school.</w:t>
            </w:r>
          </w:p>
        </w:tc>
        <w:tc>
          <w:tcPr>
            <w:tcW w:w="375" w:type="dxa"/>
          </w:tcPr>
          <w:p w14:paraId="0AB3B307" w14:textId="77777777" w:rsidR="25C97376" w:rsidRDefault="25C97376" w:rsidP="25C97376">
            <w:pPr>
              <w:rPr>
                <w:sz w:val="22"/>
              </w:rPr>
            </w:pPr>
            <w:r w:rsidRPr="25C97376">
              <w:rPr>
                <w:sz w:val="22"/>
              </w:rPr>
              <w:t>D</w:t>
            </w:r>
          </w:p>
        </w:tc>
      </w:tr>
      <w:tr w:rsidR="25C97376" w14:paraId="09155065" w14:textId="77777777" w:rsidTr="00A57765">
        <w:tc>
          <w:tcPr>
            <w:tcW w:w="10081" w:type="dxa"/>
          </w:tcPr>
          <w:p w14:paraId="77FC1A51" w14:textId="6D1CB657" w:rsidR="25C97376" w:rsidRDefault="25C97376" w:rsidP="25C97376">
            <w:pPr>
              <w:rPr>
                <w:sz w:val="22"/>
              </w:rPr>
            </w:pPr>
            <w:r w:rsidRPr="2B87F422">
              <w:rPr>
                <w:sz w:val="22"/>
              </w:rPr>
              <w:t>To review and agree the Child Protection Policy (including Cyber Bullying and e-safety strategies) on an annual basis.  Monitor and evaluate implementation of the policy and report any concerns/ areas for improvement to the full governing board.</w:t>
            </w:r>
          </w:p>
        </w:tc>
        <w:tc>
          <w:tcPr>
            <w:tcW w:w="375" w:type="dxa"/>
          </w:tcPr>
          <w:p w14:paraId="4CB2690D" w14:textId="77777777" w:rsidR="25C97376" w:rsidRDefault="25C97376" w:rsidP="25C97376">
            <w:pPr>
              <w:rPr>
                <w:sz w:val="22"/>
              </w:rPr>
            </w:pPr>
            <w:r w:rsidRPr="25C97376">
              <w:rPr>
                <w:sz w:val="22"/>
              </w:rPr>
              <w:t>D</w:t>
            </w:r>
          </w:p>
        </w:tc>
      </w:tr>
    </w:tbl>
    <w:p w14:paraId="50D95146" w14:textId="77777777" w:rsidR="25C97376" w:rsidRDefault="25C97376" w:rsidP="25C97376">
      <w:pPr>
        <w:rPr>
          <w:b/>
          <w:bCs/>
          <w:sz w:val="28"/>
          <w:szCs w:val="28"/>
        </w:rPr>
      </w:pPr>
      <w:bookmarkStart w:id="0" w:name="_GoBack"/>
      <w:bookmarkEnd w:id="0"/>
    </w:p>
    <w:p w14:paraId="0A193A69" w14:textId="77777777" w:rsidR="00650AE4" w:rsidRDefault="00650AE4">
      <w:pPr>
        <w:rPr>
          <w:b/>
          <w:bCs/>
          <w:sz w:val="24"/>
          <w:szCs w:val="24"/>
        </w:rPr>
      </w:pPr>
      <w:r>
        <w:rPr>
          <w:b/>
          <w:bCs/>
          <w:sz w:val="24"/>
          <w:szCs w:val="24"/>
        </w:rPr>
        <w:br w:type="page"/>
      </w:r>
    </w:p>
    <w:p w14:paraId="21135F9E" w14:textId="2A2FE2B6" w:rsidR="005371DC" w:rsidRDefault="005371DC" w:rsidP="005371DC">
      <w:pPr>
        <w:rPr>
          <w:i/>
          <w:iCs/>
          <w:color w:val="4F81BD" w:themeColor="accent1"/>
          <w:sz w:val="18"/>
          <w:szCs w:val="18"/>
        </w:rPr>
      </w:pPr>
      <w:r w:rsidRPr="25C97376">
        <w:rPr>
          <w:b/>
          <w:bCs/>
          <w:sz w:val="24"/>
          <w:szCs w:val="24"/>
        </w:rPr>
        <w:lastRenderedPageBreak/>
        <w:t xml:space="preserve">Policies and Documents delegated to this governor/trustee / this committee:                              </w:t>
      </w:r>
      <w:r w:rsidRPr="25C97376">
        <w:rPr>
          <w:color w:val="4F81BD" w:themeColor="accent1"/>
          <w:sz w:val="18"/>
          <w:szCs w:val="18"/>
        </w:rPr>
        <w:t>(</w:t>
      </w:r>
      <w:r w:rsidRPr="25C97376">
        <w:rPr>
          <w:i/>
          <w:iCs/>
          <w:color w:val="4F81BD" w:themeColor="accent1"/>
          <w:sz w:val="18"/>
          <w:szCs w:val="18"/>
        </w:rPr>
        <w:t>insert/delete policies and documents as applicable)</w:t>
      </w:r>
    </w:p>
    <w:p w14:paraId="7D25E74A" w14:textId="5641B6D7" w:rsidR="004C420E" w:rsidRPr="004C420E" w:rsidRDefault="004C420E" w:rsidP="004C420E">
      <w:pPr>
        <w:rPr>
          <w:sz w:val="22"/>
        </w:rPr>
      </w:pPr>
      <w:r>
        <w:rPr>
          <w:sz w:val="22"/>
        </w:rPr>
        <w:t>The following “FGB” policies are delegated to the Governor responsible for the Vulnerable Pupils portfolio.</w:t>
      </w:r>
    </w:p>
    <w:p w14:paraId="7F47F9C0" w14:textId="5967C60E" w:rsidR="005371DC" w:rsidRDefault="005371DC" w:rsidP="005371DC">
      <w:pPr>
        <w:pStyle w:val="ListParagraph"/>
        <w:numPr>
          <w:ilvl w:val="0"/>
          <w:numId w:val="7"/>
        </w:numPr>
        <w:rPr>
          <w:sz w:val="22"/>
        </w:rPr>
      </w:pPr>
      <w:r w:rsidRPr="25C97376">
        <w:rPr>
          <w:sz w:val="22"/>
        </w:rPr>
        <w:t xml:space="preserve">SEND Policy (Statutory) </w:t>
      </w:r>
    </w:p>
    <w:p w14:paraId="0745344A" w14:textId="77777777" w:rsidR="005371DC" w:rsidRDefault="005371DC" w:rsidP="005371DC">
      <w:pPr>
        <w:pStyle w:val="ListParagraph"/>
        <w:numPr>
          <w:ilvl w:val="0"/>
          <w:numId w:val="7"/>
        </w:numPr>
        <w:rPr>
          <w:rFonts w:eastAsia="Arial" w:cs="Arial"/>
          <w:sz w:val="22"/>
        </w:rPr>
      </w:pPr>
      <w:r w:rsidRPr="79257055">
        <w:rPr>
          <w:sz w:val="22"/>
        </w:rPr>
        <w:t xml:space="preserve">Supporting Pupils at School with Medical Conditions Policy (Statutory) </w:t>
      </w:r>
    </w:p>
    <w:p w14:paraId="04F39FFA" w14:textId="308E491E" w:rsidR="004C420E" w:rsidRDefault="004C420E" w:rsidP="004C420E">
      <w:pPr>
        <w:rPr>
          <w:rFonts w:eastAsia="Arial" w:cs="Arial"/>
          <w:sz w:val="22"/>
        </w:rPr>
      </w:pPr>
      <w:r>
        <w:rPr>
          <w:rFonts w:eastAsia="Arial" w:cs="Arial"/>
          <w:sz w:val="22"/>
        </w:rPr>
        <w:t xml:space="preserve">The portfolio holder may also have lead governor responsibility for other policies and these are set out in the annual Policy Review Schedule maintained by the Clerk.  </w:t>
      </w:r>
    </w:p>
    <w:p w14:paraId="574B24F5" w14:textId="386A0504" w:rsidR="005371DC" w:rsidRPr="004C420E" w:rsidRDefault="005371DC" w:rsidP="004C420E">
      <w:pPr>
        <w:rPr>
          <w:rFonts w:eastAsia="Arial" w:cs="Arial"/>
          <w:sz w:val="22"/>
        </w:rPr>
      </w:pPr>
    </w:p>
    <w:p w14:paraId="78D5C223" w14:textId="77777777" w:rsidR="005371DC" w:rsidRDefault="005371DC" w:rsidP="005371DC">
      <w:pPr>
        <w:rPr>
          <w:b/>
          <w:bCs/>
          <w:sz w:val="22"/>
        </w:rPr>
      </w:pPr>
      <w:r w:rsidRPr="79257055">
        <w:rPr>
          <w:b/>
          <w:bCs/>
          <w:sz w:val="22"/>
        </w:rPr>
        <w:t>In addition, this portfolio includes responsibility for the following non-policy areas/documents:</w:t>
      </w:r>
    </w:p>
    <w:p w14:paraId="3B85B193" w14:textId="77777777" w:rsidR="005371DC" w:rsidRDefault="005371DC" w:rsidP="005371DC">
      <w:pPr>
        <w:pStyle w:val="ListParagraph"/>
        <w:numPr>
          <w:ilvl w:val="0"/>
          <w:numId w:val="7"/>
        </w:numPr>
        <w:rPr>
          <w:sz w:val="22"/>
        </w:rPr>
      </w:pPr>
      <w:r w:rsidRPr="79257055">
        <w:rPr>
          <w:sz w:val="22"/>
        </w:rPr>
        <w:t>Information relating to SEN provision published on school website (Statutory)</w:t>
      </w:r>
    </w:p>
    <w:p w14:paraId="12FA2DCB" w14:textId="77777777" w:rsidR="005371DC" w:rsidRDefault="005371DC" w:rsidP="005371DC">
      <w:pPr>
        <w:pStyle w:val="ListParagraph"/>
        <w:numPr>
          <w:ilvl w:val="0"/>
          <w:numId w:val="7"/>
        </w:numPr>
        <w:rPr>
          <w:b/>
          <w:bCs/>
          <w:sz w:val="24"/>
          <w:szCs w:val="24"/>
        </w:rPr>
      </w:pPr>
      <w:r w:rsidRPr="25C97376">
        <w:rPr>
          <w:sz w:val="22"/>
        </w:rPr>
        <w:t>Pupil Premium, information on spending published on school website (Statutory)</w:t>
      </w:r>
    </w:p>
    <w:p w14:paraId="22BB92F9" w14:textId="77777777" w:rsidR="005371DC" w:rsidRDefault="005371DC" w:rsidP="005371DC">
      <w:pPr>
        <w:pStyle w:val="ListParagraph"/>
        <w:numPr>
          <w:ilvl w:val="0"/>
          <w:numId w:val="7"/>
        </w:numPr>
        <w:rPr>
          <w:b/>
          <w:bCs/>
          <w:sz w:val="24"/>
          <w:szCs w:val="24"/>
        </w:rPr>
      </w:pPr>
      <w:r w:rsidRPr="25C97376">
        <w:rPr>
          <w:sz w:val="22"/>
        </w:rPr>
        <w:t>P E Grant, information on spending published on school website (Statutory)</w:t>
      </w:r>
    </w:p>
    <w:p w14:paraId="11022636" w14:textId="77777777" w:rsidR="005371DC" w:rsidRDefault="005371DC" w:rsidP="005371DC">
      <w:pPr>
        <w:pStyle w:val="ListParagraph"/>
        <w:numPr>
          <w:ilvl w:val="0"/>
          <w:numId w:val="7"/>
        </w:numPr>
        <w:rPr>
          <w:b/>
          <w:bCs/>
          <w:sz w:val="24"/>
          <w:szCs w:val="24"/>
        </w:rPr>
      </w:pPr>
      <w:r w:rsidRPr="79257055">
        <w:rPr>
          <w:sz w:val="22"/>
        </w:rPr>
        <w:t>Year 7 Catch-up premium, information on spending published on school website (Statutory)</w:t>
      </w:r>
    </w:p>
    <w:p w14:paraId="14D50498" w14:textId="77777777" w:rsidR="004C420E" w:rsidRDefault="004C420E" w:rsidP="25C97376">
      <w:pPr>
        <w:rPr>
          <w:b/>
          <w:bCs/>
          <w:sz w:val="28"/>
          <w:szCs w:val="28"/>
        </w:rPr>
      </w:pPr>
    </w:p>
    <w:p w14:paraId="45248E64" w14:textId="285AB688" w:rsidR="004C420E" w:rsidRDefault="004C420E" w:rsidP="004C420E">
      <w:pPr>
        <w:pBdr>
          <w:top w:val="single" w:sz="4" w:space="1" w:color="auto"/>
          <w:left w:val="single" w:sz="4" w:space="4" w:color="auto"/>
          <w:bottom w:val="single" w:sz="4" w:space="1" w:color="auto"/>
          <w:right w:val="single" w:sz="4" w:space="4" w:color="auto"/>
        </w:pBdr>
        <w:rPr>
          <w:rFonts w:eastAsia="Arial" w:cs="Arial"/>
          <w:sz w:val="22"/>
        </w:rPr>
      </w:pPr>
      <w:r w:rsidRPr="00971499">
        <w:rPr>
          <w:rFonts w:eastAsia="Arial" w:cs="Arial"/>
          <w:b/>
          <w:bCs/>
          <w:sz w:val="22"/>
        </w:rPr>
        <w:t xml:space="preserve">Date agreed (at meeting of Full Governing Body): Wednesday </w:t>
      </w:r>
      <w:r w:rsidR="009A3878">
        <w:rPr>
          <w:rFonts w:eastAsia="Arial" w:cs="Arial"/>
          <w:b/>
          <w:bCs/>
          <w:sz w:val="22"/>
        </w:rPr>
        <w:t>13</w:t>
      </w:r>
      <w:r w:rsidRPr="00971499">
        <w:rPr>
          <w:rFonts w:eastAsia="Arial" w:cs="Arial"/>
          <w:b/>
          <w:bCs/>
          <w:sz w:val="22"/>
        </w:rPr>
        <w:t xml:space="preserve"> September 202</w:t>
      </w:r>
      <w:r w:rsidR="00567700">
        <w:rPr>
          <w:rFonts w:eastAsia="Arial" w:cs="Arial"/>
          <w:b/>
          <w:bCs/>
          <w:sz w:val="22"/>
        </w:rPr>
        <w:t>3</w:t>
      </w:r>
    </w:p>
    <w:p w14:paraId="17991AFB" w14:textId="713560C4" w:rsidR="25C97376" w:rsidRDefault="004C420E" w:rsidP="004C420E">
      <w:pPr>
        <w:pBdr>
          <w:top w:val="single" w:sz="4" w:space="1" w:color="auto"/>
          <w:left w:val="single" w:sz="4" w:space="4" w:color="auto"/>
          <w:bottom w:val="single" w:sz="4" w:space="1" w:color="auto"/>
          <w:right w:val="single" w:sz="4" w:space="4" w:color="auto"/>
        </w:pBdr>
        <w:rPr>
          <w:b/>
          <w:bCs/>
          <w:sz w:val="28"/>
          <w:szCs w:val="28"/>
        </w:rPr>
      </w:pPr>
      <w:r w:rsidRPr="25C97376">
        <w:rPr>
          <w:rFonts w:eastAsia="Arial" w:cs="Arial"/>
          <w:b/>
          <w:bCs/>
          <w:sz w:val="22"/>
        </w:rPr>
        <w:t>Date for next review: September 202</w:t>
      </w:r>
      <w:r w:rsidR="009A3878">
        <w:rPr>
          <w:rFonts w:eastAsia="Arial" w:cs="Arial"/>
          <w:b/>
          <w:bCs/>
          <w:sz w:val="22"/>
        </w:rPr>
        <w:t>4</w:t>
      </w:r>
    </w:p>
    <w:p w14:paraId="48A2B1E5" w14:textId="76C0CAB3" w:rsidR="25C97376" w:rsidRDefault="25C97376" w:rsidP="25C97376">
      <w:pPr>
        <w:rPr>
          <w:b/>
          <w:bCs/>
          <w:sz w:val="28"/>
          <w:szCs w:val="28"/>
        </w:rPr>
      </w:pPr>
    </w:p>
    <w:p w14:paraId="5D2D2126" w14:textId="72E86E01" w:rsidR="00567700" w:rsidRDefault="00567700" w:rsidP="25C97376">
      <w:pPr>
        <w:rPr>
          <w:b/>
          <w:bCs/>
          <w:sz w:val="28"/>
          <w:szCs w:val="28"/>
        </w:rPr>
      </w:pPr>
    </w:p>
    <w:p w14:paraId="59D10BB5" w14:textId="77777777" w:rsidR="00567700" w:rsidRDefault="00567700" w:rsidP="25C97376">
      <w:pPr>
        <w:rPr>
          <w:b/>
          <w:bCs/>
          <w:sz w:val="28"/>
          <w:szCs w:val="28"/>
        </w:rPr>
      </w:pPr>
    </w:p>
    <w:p w14:paraId="23198528" w14:textId="77777777" w:rsidR="00567700" w:rsidRDefault="00567700" w:rsidP="00567700">
      <w:pPr>
        <w:tabs>
          <w:tab w:val="left" w:pos="1845"/>
        </w:tabs>
        <w:rPr>
          <w:b/>
          <w:bCs/>
          <w:sz w:val="24"/>
          <w:szCs w:val="24"/>
        </w:rPr>
      </w:pPr>
      <w:r w:rsidRPr="25C97376">
        <w:rPr>
          <w:b/>
          <w:bCs/>
          <w:sz w:val="24"/>
          <w:szCs w:val="24"/>
        </w:rPr>
        <w:t xml:space="preserve">Levels of Delegation - Decision or Recommendation                                                                  </w:t>
      </w:r>
    </w:p>
    <w:p w14:paraId="251603D5" w14:textId="77777777" w:rsidR="00567700" w:rsidRDefault="00567700" w:rsidP="00567700">
      <w:pPr>
        <w:tabs>
          <w:tab w:val="left" w:pos="1845"/>
        </w:tabs>
        <w:rPr>
          <w:b/>
          <w:bCs/>
          <w:sz w:val="24"/>
          <w:szCs w:val="24"/>
        </w:rPr>
      </w:pPr>
      <w:r w:rsidRPr="25C97376">
        <w:rPr>
          <w:sz w:val="22"/>
        </w:rPr>
        <w:t xml:space="preserve">D = </w:t>
      </w:r>
      <w:r w:rsidRPr="25C97376">
        <w:rPr>
          <w:b/>
          <w:bCs/>
          <w:sz w:val="22"/>
        </w:rPr>
        <w:t>decision</w:t>
      </w:r>
      <w:r w:rsidRPr="25C97376">
        <w:rPr>
          <w:sz w:val="22"/>
        </w:rPr>
        <w:t xml:space="preserve"> to be taken by the committee and reported to the full governing board in the minutes.</w:t>
      </w:r>
    </w:p>
    <w:p w14:paraId="589DD3FA" w14:textId="77777777" w:rsidR="00567700" w:rsidRDefault="00567700" w:rsidP="00567700">
      <w:pPr>
        <w:tabs>
          <w:tab w:val="left" w:pos="1845"/>
        </w:tabs>
        <w:rPr>
          <w:sz w:val="22"/>
        </w:rPr>
      </w:pPr>
      <w:r w:rsidRPr="25C97376">
        <w:rPr>
          <w:sz w:val="22"/>
        </w:rPr>
        <w:t xml:space="preserve">R = the committee to make a </w:t>
      </w:r>
      <w:r w:rsidRPr="25C97376">
        <w:rPr>
          <w:b/>
          <w:bCs/>
          <w:sz w:val="22"/>
        </w:rPr>
        <w:t>recommendation</w:t>
      </w:r>
      <w:r w:rsidRPr="25C97376">
        <w:rPr>
          <w:sz w:val="22"/>
        </w:rPr>
        <w:t xml:space="preserve"> to the full governing board, who will make the decision.</w:t>
      </w:r>
    </w:p>
    <w:p w14:paraId="39D9F03E" w14:textId="77777777" w:rsidR="00567700" w:rsidRDefault="00567700" w:rsidP="00567700">
      <w:pPr>
        <w:pStyle w:val="bullets"/>
        <w:tabs>
          <w:tab w:val="left" w:pos="1845"/>
        </w:tabs>
        <w:spacing w:after="113" w:line="240" w:lineRule="auto"/>
        <w:ind w:left="0" w:firstLine="0"/>
        <w:rPr>
          <w:rFonts w:ascii="Arial" w:hAnsi="Arial" w:cs="Arial"/>
          <w:i/>
          <w:iCs/>
          <w:color w:val="4F81BD" w:themeColor="accent1"/>
          <w:sz w:val="18"/>
          <w:szCs w:val="18"/>
        </w:rPr>
      </w:pPr>
      <w:r w:rsidRPr="25C97376">
        <w:rPr>
          <w:rFonts w:ascii="Arial" w:hAnsi="Arial" w:cs="Arial"/>
          <w:i/>
          <w:iCs/>
          <w:color w:val="4F81BD" w:themeColor="accent1"/>
          <w:sz w:val="18"/>
          <w:szCs w:val="18"/>
        </w:rPr>
        <w:t>Note from The Governance Consultancy Team: The level of delegated decision making given to a committee needs to be agreed by the full governing board.  Full delegation (within legal requirements) is suggested within these terms of reference,  but you may wish to  set different levels with the committee making more recommendations and fewer decisions.  Whatever you decide, make sure there is no duplication between the work of the committee and the full governing board.  All delegated decisions must be reported to the full governing board through the minutes from the committee.</w:t>
      </w:r>
    </w:p>
    <w:p w14:paraId="3DFB9793" w14:textId="77777777" w:rsidR="25C97376" w:rsidRDefault="25C97376" w:rsidP="25C97376">
      <w:pPr>
        <w:rPr>
          <w:b/>
          <w:bCs/>
          <w:sz w:val="28"/>
          <w:szCs w:val="28"/>
        </w:rPr>
      </w:pPr>
    </w:p>
    <w:p w14:paraId="2A7EF16D" w14:textId="77777777" w:rsidR="25C97376" w:rsidRDefault="25C97376" w:rsidP="25C97376">
      <w:pPr>
        <w:rPr>
          <w:b/>
          <w:bCs/>
          <w:sz w:val="28"/>
          <w:szCs w:val="28"/>
        </w:rPr>
      </w:pPr>
    </w:p>
    <w:p w14:paraId="53238610" w14:textId="77777777" w:rsidR="25C97376" w:rsidRDefault="25C97376" w:rsidP="25C97376">
      <w:pPr>
        <w:rPr>
          <w:b/>
          <w:bCs/>
          <w:sz w:val="28"/>
          <w:szCs w:val="28"/>
        </w:rPr>
      </w:pPr>
    </w:p>
    <w:p w14:paraId="117BBBF6" w14:textId="77777777" w:rsidR="25C97376" w:rsidRDefault="25C97376" w:rsidP="25C97376">
      <w:pPr>
        <w:rPr>
          <w:b/>
          <w:bCs/>
          <w:sz w:val="28"/>
          <w:szCs w:val="28"/>
        </w:rPr>
      </w:pPr>
    </w:p>
    <w:p w14:paraId="78A54642" w14:textId="77777777" w:rsidR="25C97376" w:rsidRDefault="25C97376" w:rsidP="25C97376">
      <w:pPr>
        <w:rPr>
          <w:b/>
          <w:bCs/>
          <w:sz w:val="28"/>
          <w:szCs w:val="28"/>
        </w:rPr>
      </w:pPr>
    </w:p>
    <w:p w14:paraId="707ECA40" w14:textId="583D0960" w:rsidR="25C97376" w:rsidRDefault="25C97376" w:rsidP="25C97376">
      <w:pPr>
        <w:rPr>
          <w:b/>
          <w:bCs/>
          <w:sz w:val="28"/>
          <w:szCs w:val="28"/>
        </w:rPr>
      </w:pPr>
    </w:p>
    <w:sectPr w:rsidR="25C97376" w:rsidSect="009816F5">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028E7" w14:textId="77777777" w:rsidR="000A4627" w:rsidRDefault="000A4627" w:rsidP="009974C9">
      <w:pPr>
        <w:spacing w:after="0" w:line="240" w:lineRule="auto"/>
      </w:pPr>
      <w:r>
        <w:separator/>
      </w:r>
    </w:p>
  </w:endnote>
  <w:endnote w:type="continuationSeparator" w:id="0">
    <w:p w14:paraId="2688DB03" w14:textId="77777777" w:rsidR="000A4627" w:rsidRDefault="000A4627" w:rsidP="0099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 Frutiger Roman">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149902"/>
      <w:docPartObj>
        <w:docPartGallery w:val="Page Numbers (Bottom of Page)"/>
        <w:docPartUnique/>
      </w:docPartObj>
    </w:sdtPr>
    <w:sdtEndPr>
      <w:rPr>
        <w:noProof/>
      </w:rPr>
    </w:sdtEndPr>
    <w:sdtContent>
      <w:p w14:paraId="76F01AC1" w14:textId="283C1CBC" w:rsidR="009974C9" w:rsidRDefault="009974C9">
        <w:pPr>
          <w:pStyle w:val="Footer"/>
        </w:pPr>
        <w:r>
          <w:fldChar w:fldCharType="begin"/>
        </w:r>
        <w:r>
          <w:instrText xml:space="preserve"> PAGE   \* MERGEFORMAT </w:instrText>
        </w:r>
        <w:r>
          <w:fldChar w:fldCharType="separate"/>
        </w:r>
        <w:r w:rsidR="00A57765">
          <w:rPr>
            <w:noProof/>
          </w:rPr>
          <w:t>2</w:t>
        </w:r>
        <w:r>
          <w:rPr>
            <w:noProof/>
          </w:rPr>
          <w:fldChar w:fldCharType="end"/>
        </w:r>
      </w:p>
    </w:sdtContent>
  </w:sdt>
  <w:p w14:paraId="743F4583" w14:textId="77777777" w:rsidR="009974C9" w:rsidRDefault="00997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DD1B4" w14:textId="77777777" w:rsidR="000A4627" w:rsidRDefault="000A4627" w:rsidP="009974C9">
      <w:pPr>
        <w:spacing w:after="0" w:line="240" w:lineRule="auto"/>
      </w:pPr>
      <w:r>
        <w:separator/>
      </w:r>
    </w:p>
  </w:footnote>
  <w:footnote w:type="continuationSeparator" w:id="0">
    <w:p w14:paraId="29CF43B1" w14:textId="77777777" w:rsidR="000A4627" w:rsidRDefault="000A4627" w:rsidP="00997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52688" w14:textId="77777777" w:rsidR="008C35AA" w:rsidRDefault="008C3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933"/>
    <w:multiLevelType w:val="hybridMultilevel"/>
    <w:tmpl w:val="4B78A552"/>
    <w:lvl w:ilvl="0" w:tplc="E72E543E">
      <w:start w:val="1"/>
      <w:numFmt w:val="bullet"/>
      <w:lvlText w:val=""/>
      <w:lvlJc w:val="left"/>
      <w:pPr>
        <w:ind w:left="720" w:hanging="360"/>
      </w:pPr>
      <w:rPr>
        <w:rFonts w:ascii="Symbol" w:hAnsi="Symbol" w:hint="default"/>
      </w:rPr>
    </w:lvl>
    <w:lvl w:ilvl="1" w:tplc="557011EC">
      <w:start w:val="1"/>
      <w:numFmt w:val="bullet"/>
      <w:lvlText w:val="o"/>
      <w:lvlJc w:val="left"/>
      <w:pPr>
        <w:ind w:left="1440" w:hanging="360"/>
      </w:pPr>
      <w:rPr>
        <w:rFonts w:ascii="Courier New" w:hAnsi="Courier New" w:hint="default"/>
      </w:rPr>
    </w:lvl>
    <w:lvl w:ilvl="2" w:tplc="FD66C168">
      <w:start w:val="1"/>
      <w:numFmt w:val="bullet"/>
      <w:lvlText w:val=""/>
      <w:lvlJc w:val="left"/>
      <w:pPr>
        <w:ind w:left="2160" w:hanging="360"/>
      </w:pPr>
      <w:rPr>
        <w:rFonts w:ascii="Wingdings" w:hAnsi="Wingdings" w:hint="default"/>
      </w:rPr>
    </w:lvl>
    <w:lvl w:ilvl="3" w:tplc="574EB9B0">
      <w:start w:val="1"/>
      <w:numFmt w:val="bullet"/>
      <w:lvlText w:val=""/>
      <w:lvlJc w:val="left"/>
      <w:pPr>
        <w:ind w:left="2880" w:hanging="360"/>
      </w:pPr>
      <w:rPr>
        <w:rFonts w:ascii="Symbol" w:hAnsi="Symbol" w:hint="default"/>
      </w:rPr>
    </w:lvl>
    <w:lvl w:ilvl="4" w:tplc="480EB16E">
      <w:start w:val="1"/>
      <w:numFmt w:val="bullet"/>
      <w:lvlText w:val="o"/>
      <w:lvlJc w:val="left"/>
      <w:pPr>
        <w:ind w:left="3600" w:hanging="360"/>
      </w:pPr>
      <w:rPr>
        <w:rFonts w:ascii="Courier New" w:hAnsi="Courier New" w:hint="default"/>
      </w:rPr>
    </w:lvl>
    <w:lvl w:ilvl="5" w:tplc="593E2EEE">
      <w:start w:val="1"/>
      <w:numFmt w:val="bullet"/>
      <w:lvlText w:val=""/>
      <w:lvlJc w:val="left"/>
      <w:pPr>
        <w:ind w:left="4320" w:hanging="360"/>
      </w:pPr>
      <w:rPr>
        <w:rFonts w:ascii="Wingdings" w:hAnsi="Wingdings" w:hint="default"/>
      </w:rPr>
    </w:lvl>
    <w:lvl w:ilvl="6" w:tplc="B84E3B32">
      <w:start w:val="1"/>
      <w:numFmt w:val="bullet"/>
      <w:lvlText w:val=""/>
      <w:lvlJc w:val="left"/>
      <w:pPr>
        <w:ind w:left="5040" w:hanging="360"/>
      </w:pPr>
      <w:rPr>
        <w:rFonts w:ascii="Symbol" w:hAnsi="Symbol" w:hint="default"/>
      </w:rPr>
    </w:lvl>
    <w:lvl w:ilvl="7" w:tplc="6EA402A8">
      <w:start w:val="1"/>
      <w:numFmt w:val="bullet"/>
      <w:lvlText w:val="o"/>
      <w:lvlJc w:val="left"/>
      <w:pPr>
        <w:ind w:left="5760" w:hanging="360"/>
      </w:pPr>
      <w:rPr>
        <w:rFonts w:ascii="Courier New" w:hAnsi="Courier New" w:hint="default"/>
      </w:rPr>
    </w:lvl>
    <w:lvl w:ilvl="8" w:tplc="2CBC7F4E">
      <w:start w:val="1"/>
      <w:numFmt w:val="bullet"/>
      <w:lvlText w:val=""/>
      <w:lvlJc w:val="left"/>
      <w:pPr>
        <w:ind w:left="6480" w:hanging="360"/>
      </w:pPr>
      <w:rPr>
        <w:rFonts w:ascii="Wingdings" w:hAnsi="Wingdings" w:hint="default"/>
      </w:rPr>
    </w:lvl>
  </w:abstractNum>
  <w:abstractNum w:abstractNumId="1" w15:restartNumberingAfterBreak="0">
    <w:nsid w:val="1B2F03E7"/>
    <w:multiLevelType w:val="hybridMultilevel"/>
    <w:tmpl w:val="D0501FF0"/>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D454A"/>
    <w:multiLevelType w:val="hybridMultilevel"/>
    <w:tmpl w:val="D4C041D2"/>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30175"/>
    <w:multiLevelType w:val="hybridMultilevel"/>
    <w:tmpl w:val="36B64B74"/>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2429C"/>
    <w:multiLevelType w:val="hybridMultilevel"/>
    <w:tmpl w:val="177C6DB4"/>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50773"/>
    <w:multiLevelType w:val="hybridMultilevel"/>
    <w:tmpl w:val="060A2FDE"/>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E420A"/>
    <w:multiLevelType w:val="hybridMultilevel"/>
    <w:tmpl w:val="5F2CA534"/>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52B6D"/>
    <w:multiLevelType w:val="hybridMultilevel"/>
    <w:tmpl w:val="52200B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B880B07"/>
    <w:multiLevelType w:val="hybridMultilevel"/>
    <w:tmpl w:val="0A5E28F4"/>
    <w:lvl w:ilvl="0" w:tplc="FFFFFFFF">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AF3279"/>
    <w:multiLevelType w:val="hybridMultilevel"/>
    <w:tmpl w:val="F940AE0E"/>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9"/>
  </w:num>
  <w:num w:numId="5">
    <w:abstractNumId w:val="2"/>
  </w:num>
  <w:num w:numId="6">
    <w:abstractNumId w:val="3"/>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6F5"/>
    <w:rsid w:val="000421ED"/>
    <w:rsid w:val="0004627F"/>
    <w:rsid w:val="00054A18"/>
    <w:rsid w:val="00060E62"/>
    <w:rsid w:val="000948B5"/>
    <w:rsid w:val="000A4627"/>
    <w:rsid w:val="000B0641"/>
    <w:rsid w:val="001171C5"/>
    <w:rsid w:val="0015547C"/>
    <w:rsid w:val="00193E8E"/>
    <w:rsid w:val="002426B5"/>
    <w:rsid w:val="00263DB6"/>
    <w:rsid w:val="00275176"/>
    <w:rsid w:val="002811FD"/>
    <w:rsid w:val="00311156"/>
    <w:rsid w:val="003160AF"/>
    <w:rsid w:val="00321DA4"/>
    <w:rsid w:val="003712BE"/>
    <w:rsid w:val="003731B4"/>
    <w:rsid w:val="003A5442"/>
    <w:rsid w:val="003B3A75"/>
    <w:rsid w:val="003C6F87"/>
    <w:rsid w:val="003D4BF7"/>
    <w:rsid w:val="004B228C"/>
    <w:rsid w:val="004C2297"/>
    <w:rsid w:val="004C420E"/>
    <w:rsid w:val="004C5EE1"/>
    <w:rsid w:val="0050695F"/>
    <w:rsid w:val="005131D6"/>
    <w:rsid w:val="00525843"/>
    <w:rsid w:val="00525EFD"/>
    <w:rsid w:val="00535FCA"/>
    <w:rsid w:val="005371DC"/>
    <w:rsid w:val="00557031"/>
    <w:rsid w:val="00567700"/>
    <w:rsid w:val="005B57C3"/>
    <w:rsid w:val="005B58AB"/>
    <w:rsid w:val="005B6610"/>
    <w:rsid w:val="005D00BF"/>
    <w:rsid w:val="00650AE4"/>
    <w:rsid w:val="006E4717"/>
    <w:rsid w:val="006E620B"/>
    <w:rsid w:val="006E679E"/>
    <w:rsid w:val="007553D3"/>
    <w:rsid w:val="00794368"/>
    <w:rsid w:val="007A02BF"/>
    <w:rsid w:val="007B4401"/>
    <w:rsid w:val="007C7C41"/>
    <w:rsid w:val="007D4DA0"/>
    <w:rsid w:val="0082064F"/>
    <w:rsid w:val="00842487"/>
    <w:rsid w:val="00860734"/>
    <w:rsid w:val="0086148E"/>
    <w:rsid w:val="008C35AA"/>
    <w:rsid w:val="00930B13"/>
    <w:rsid w:val="00943410"/>
    <w:rsid w:val="00952140"/>
    <w:rsid w:val="00967318"/>
    <w:rsid w:val="00971499"/>
    <w:rsid w:val="009816F5"/>
    <w:rsid w:val="009935E0"/>
    <w:rsid w:val="009974C9"/>
    <w:rsid w:val="009A3878"/>
    <w:rsid w:val="009C3BDB"/>
    <w:rsid w:val="009E315E"/>
    <w:rsid w:val="009F0404"/>
    <w:rsid w:val="00A57765"/>
    <w:rsid w:val="00A96E3F"/>
    <w:rsid w:val="00B34088"/>
    <w:rsid w:val="00B80FF5"/>
    <w:rsid w:val="00BB319B"/>
    <w:rsid w:val="00BD6861"/>
    <w:rsid w:val="00BE0F61"/>
    <w:rsid w:val="00C01982"/>
    <w:rsid w:val="00C72DDD"/>
    <w:rsid w:val="00CF6E01"/>
    <w:rsid w:val="00D1664C"/>
    <w:rsid w:val="00D258D7"/>
    <w:rsid w:val="00D30667"/>
    <w:rsid w:val="00D344E8"/>
    <w:rsid w:val="00D93B3D"/>
    <w:rsid w:val="00DB562F"/>
    <w:rsid w:val="00DB575F"/>
    <w:rsid w:val="00E368BA"/>
    <w:rsid w:val="00E41034"/>
    <w:rsid w:val="00E442D6"/>
    <w:rsid w:val="00EA5C29"/>
    <w:rsid w:val="00ED7B92"/>
    <w:rsid w:val="00EE71E3"/>
    <w:rsid w:val="00EF20DA"/>
    <w:rsid w:val="00F47CB4"/>
    <w:rsid w:val="00F75B6B"/>
    <w:rsid w:val="00FA1929"/>
    <w:rsid w:val="037BBDCC"/>
    <w:rsid w:val="048A42B2"/>
    <w:rsid w:val="07E88B7B"/>
    <w:rsid w:val="0A297A54"/>
    <w:rsid w:val="0ACA22BF"/>
    <w:rsid w:val="0B45CD6E"/>
    <w:rsid w:val="0E5C65A9"/>
    <w:rsid w:val="0FF5F0E5"/>
    <w:rsid w:val="10BF4099"/>
    <w:rsid w:val="1229AA56"/>
    <w:rsid w:val="12FD6EC8"/>
    <w:rsid w:val="187F9AE7"/>
    <w:rsid w:val="19CE69D6"/>
    <w:rsid w:val="1C7AF68D"/>
    <w:rsid w:val="2157B3D9"/>
    <w:rsid w:val="21ADFA16"/>
    <w:rsid w:val="25C97376"/>
    <w:rsid w:val="2664DA28"/>
    <w:rsid w:val="2685FE80"/>
    <w:rsid w:val="2B87F422"/>
    <w:rsid w:val="2C3025EA"/>
    <w:rsid w:val="2D950F6E"/>
    <w:rsid w:val="2E2E07B2"/>
    <w:rsid w:val="2E51E3BA"/>
    <w:rsid w:val="2E9D679F"/>
    <w:rsid w:val="2EF21662"/>
    <w:rsid w:val="2FC404B3"/>
    <w:rsid w:val="2FE0DAC3"/>
    <w:rsid w:val="3177149B"/>
    <w:rsid w:val="336BE485"/>
    <w:rsid w:val="34873B11"/>
    <w:rsid w:val="34877A67"/>
    <w:rsid w:val="376952BD"/>
    <w:rsid w:val="38D06998"/>
    <w:rsid w:val="391BE89C"/>
    <w:rsid w:val="3E181533"/>
    <w:rsid w:val="3E20FD0A"/>
    <w:rsid w:val="3E315E6C"/>
    <w:rsid w:val="3E7048E8"/>
    <w:rsid w:val="4153FD02"/>
    <w:rsid w:val="43BB645E"/>
    <w:rsid w:val="458B953C"/>
    <w:rsid w:val="45ADE157"/>
    <w:rsid w:val="512B84EC"/>
    <w:rsid w:val="51FFD084"/>
    <w:rsid w:val="5353EE74"/>
    <w:rsid w:val="5591747B"/>
    <w:rsid w:val="5625AB5A"/>
    <w:rsid w:val="56E7FBD5"/>
    <w:rsid w:val="58D00379"/>
    <w:rsid w:val="59037A6B"/>
    <w:rsid w:val="5BAA934D"/>
    <w:rsid w:val="5BEB5CB9"/>
    <w:rsid w:val="5C5AB804"/>
    <w:rsid w:val="5C72E998"/>
    <w:rsid w:val="6064E049"/>
    <w:rsid w:val="63AE0767"/>
    <w:rsid w:val="6630B5A2"/>
    <w:rsid w:val="6681FBD4"/>
    <w:rsid w:val="6AB0C17E"/>
    <w:rsid w:val="6DCC4544"/>
    <w:rsid w:val="7066F7E4"/>
    <w:rsid w:val="72140795"/>
    <w:rsid w:val="72B523F8"/>
    <w:rsid w:val="73C04F50"/>
    <w:rsid w:val="75326935"/>
    <w:rsid w:val="7636A9C1"/>
    <w:rsid w:val="7672D35C"/>
    <w:rsid w:val="76F4BFBD"/>
    <w:rsid w:val="78ADA1C6"/>
    <w:rsid w:val="79257055"/>
    <w:rsid w:val="79B0B291"/>
    <w:rsid w:val="79DDFF84"/>
    <w:rsid w:val="7A35BC1A"/>
    <w:rsid w:val="7B23EF67"/>
    <w:rsid w:val="7B4B0D68"/>
    <w:rsid w:val="7C509ABB"/>
    <w:rsid w:val="7E105413"/>
    <w:rsid w:val="7E52FF1A"/>
    <w:rsid w:val="7E8643E9"/>
    <w:rsid w:val="7FDF0CDE"/>
    <w:rsid w:val="7FF5AF57"/>
    <w:rsid w:val="7FF716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67E64"/>
  <w15:docId w15:val="{C15BA428-23ED-4752-BC1B-2B2F2E52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D7"/>
  </w:style>
  <w:style w:type="paragraph" w:styleId="Heading2">
    <w:name w:val="heading 2"/>
    <w:basedOn w:val="Normal"/>
    <w:link w:val="Heading2Char"/>
    <w:uiPriority w:val="9"/>
    <w:semiHidden/>
    <w:unhideWhenUsed/>
    <w:qFormat/>
    <w:rsid w:val="006E4717"/>
    <w:pPr>
      <w:keepNext/>
      <w:spacing w:before="240" w:after="60"/>
      <w:outlineLvl w:val="1"/>
    </w:pPr>
    <w:rPr>
      <w:rFonts w:ascii="Calibri Light" w:hAnsi="Calibri Light"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A0"/>
    <w:pPr>
      <w:ind w:left="720"/>
      <w:contextualSpacing/>
    </w:pPr>
  </w:style>
  <w:style w:type="paragraph" w:customStyle="1" w:styleId="bullets">
    <w:name w:val="bullets"/>
    <w:basedOn w:val="Normal"/>
    <w:rsid w:val="00557031"/>
    <w:pPr>
      <w:tabs>
        <w:tab w:val="left" w:pos="907"/>
      </w:tabs>
      <w:overflowPunct w:val="0"/>
      <w:autoSpaceDE w:val="0"/>
      <w:autoSpaceDN w:val="0"/>
      <w:adjustRightInd w:val="0"/>
      <w:spacing w:after="170" w:line="280" w:lineRule="exact"/>
      <w:ind w:left="566" w:hanging="284"/>
      <w:textAlignment w:val="baseline"/>
    </w:pPr>
    <w:rPr>
      <w:rFonts w:ascii="R Frutiger Roman" w:eastAsia="Times New Roman" w:hAnsi="R Frutiger Roman" w:cs="Times New Roman"/>
      <w:noProof/>
      <w:szCs w:val="20"/>
      <w:lang w:eastAsia="en-GB"/>
    </w:rPr>
  </w:style>
  <w:style w:type="paragraph" w:styleId="Header">
    <w:name w:val="header"/>
    <w:basedOn w:val="Normal"/>
    <w:link w:val="HeaderChar"/>
    <w:uiPriority w:val="99"/>
    <w:unhideWhenUsed/>
    <w:rsid w:val="00997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4C9"/>
  </w:style>
  <w:style w:type="paragraph" w:styleId="Footer">
    <w:name w:val="footer"/>
    <w:basedOn w:val="Normal"/>
    <w:link w:val="FooterChar"/>
    <w:uiPriority w:val="99"/>
    <w:unhideWhenUsed/>
    <w:rsid w:val="00997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4C9"/>
  </w:style>
  <w:style w:type="table" w:styleId="TableGrid">
    <w:name w:val="Table Grid"/>
    <w:basedOn w:val="TableNormal"/>
    <w:uiPriority w:val="59"/>
    <w:rsid w:val="00054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AA"/>
    <w:rPr>
      <w:rFonts w:ascii="Tahoma" w:hAnsi="Tahoma" w:cs="Tahoma"/>
      <w:sz w:val="16"/>
      <w:szCs w:val="16"/>
    </w:rPr>
  </w:style>
  <w:style w:type="character" w:customStyle="1" w:styleId="Heading2Char">
    <w:name w:val="Heading 2 Char"/>
    <w:basedOn w:val="DefaultParagraphFont"/>
    <w:link w:val="Heading2"/>
    <w:uiPriority w:val="9"/>
    <w:semiHidden/>
    <w:rsid w:val="006E4717"/>
    <w:rPr>
      <w:rFonts w:ascii="Calibri Light" w:hAnsi="Calibri Light" w:cs="Times New Roman"/>
      <w:b/>
      <w:bCs/>
      <w:sz w:val="28"/>
      <w:szCs w:val="28"/>
    </w:rPr>
  </w:style>
  <w:style w:type="paragraph" w:customStyle="1" w:styleId="Default">
    <w:name w:val="Default"/>
    <w:basedOn w:val="Normal"/>
    <w:uiPriority w:val="99"/>
    <w:rsid w:val="006E4717"/>
    <w:pPr>
      <w:autoSpaceDE w:val="0"/>
      <w:autoSpaceDN w:val="0"/>
      <w:spacing w:after="0" w:line="240" w:lineRule="auto"/>
    </w:pPr>
    <w:rPr>
      <w:rFonts w:cs="Arial"/>
      <w:color w:val="000000"/>
      <w:sz w:val="24"/>
      <w:szCs w:val="24"/>
      <w:lang w:eastAsia="en-GB"/>
    </w:rPr>
  </w:style>
  <w:style w:type="paragraph" w:customStyle="1" w:styleId="CM154">
    <w:name w:val="CM154"/>
    <w:basedOn w:val="Normal"/>
    <w:uiPriority w:val="99"/>
    <w:rsid w:val="006E4717"/>
    <w:pPr>
      <w:autoSpaceDE w:val="0"/>
      <w:autoSpaceDN w:val="0"/>
      <w:spacing w:after="0" w:line="240" w:lineRule="auto"/>
    </w:pPr>
    <w:rPr>
      <w:rFonts w:cs="Arial"/>
      <w:sz w:val="24"/>
      <w:szCs w:val="24"/>
      <w:lang w:eastAsia="en-GB"/>
    </w:rPr>
  </w:style>
  <w:style w:type="paragraph" w:customStyle="1" w:styleId="CM2">
    <w:name w:val="CM2"/>
    <w:basedOn w:val="Normal"/>
    <w:uiPriority w:val="99"/>
    <w:rsid w:val="006E4717"/>
    <w:pPr>
      <w:autoSpaceDE w:val="0"/>
      <w:autoSpaceDN w:val="0"/>
      <w:spacing w:after="0" w:line="258" w:lineRule="atLeast"/>
    </w:pPr>
    <w:rPr>
      <w:rFonts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219ACCB1944843AB2810EA30588373" ma:contentTypeVersion="14" ma:contentTypeDescription="Create a new document." ma:contentTypeScope="" ma:versionID="63f9abcf4f6c4d0ebe93c3278f529091">
  <xsd:schema xmlns:xsd="http://www.w3.org/2001/XMLSchema" xmlns:xs="http://www.w3.org/2001/XMLSchema" xmlns:p="http://schemas.microsoft.com/office/2006/metadata/properties" xmlns:ns3="8c7c7d55-995e-486e-8201-cb7938c66e2e" xmlns:ns4="c85ecfb6-a941-40d6-a575-e6e519ab2419" targetNamespace="http://schemas.microsoft.com/office/2006/metadata/properties" ma:root="true" ma:fieldsID="cfcb1bdfc54d117dc81feb3ff4ee7afe" ns3:_="" ns4:_="">
    <xsd:import namespace="8c7c7d55-995e-486e-8201-cb7938c66e2e"/>
    <xsd:import namespace="c85ecfb6-a941-40d6-a575-e6e519ab24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7d55-995e-486e-8201-cb7938c66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ecfb6-a941-40d6-a575-e6e519ab24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414C92-E284-4BAE-9BF0-73008B72EE05}">
  <ds:schemaRefs>
    <ds:schemaRef ds:uri="c85ecfb6-a941-40d6-a575-e6e519ab2419"/>
    <ds:schemaRef ds:uri="http://schemas.microsoft.com/office/2006/metadata/properties"/>
    <ds:schemaRef ds:uri="8c7c7d55-995e-486e-8201-cb7938c66e2e"/>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7A414301-D8D5-47E5-8DA5-FD0DAE7B7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7d55-995e-486e-8201-cb7938c66e2e"/>
    <ds:schemaRef ds:uri="c85ecfb6-a941-40d6-a575-e6e519ab2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887140-921B-4FD6-B993-642CCF002A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Collier2, Fiona</dc:creator>
  <cp:lastModifiedBy>Synge, Tim</cp:lastModifiedBy>
  <cp:revision>7</cp:revision>
  <dcterms:created xsi:type="dcterms:W3CDTF">2022-09-15T11:10:00Z</dcterms:created>
  <dcterms:modified xsi:type="dcterms:W3CDTF">2023-10-16T15:33:00Z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0x01010003219ACCB1944843AB2810EA30588373</vt:lpwstr>
  </property>
</Properties>
</file>