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8B49B" w14:textId="70625BE4" w:rsidR="00462B98" w:rsidRDefault="00462B98" w:rsidP="00C33277">
      <w:pPr>
        <w:rPr>
          <w:b/>
          <w:sz w:val="32"/>
          <w:szCs w:val="32"/>
        </w:rPr>
      </w:pPr>
      <w:r>
        <w:rPr>
          <w:b/>
          <w:sz w:val="32"/>
          <w:szCs w:val="32"/>
        </w:rPr>
        <w:t>Premises and Health &amp; Safety Portfolio</w:t>
      </w:r>
    </w:p>
    <w:p w14:paraId="06FF18BD" w14:textId="77777777" w:rsidR="00462B98" w:rsidRDefault="00462B98" w:rsidP="00462B98">
      <w:pPr>
        <w:rPr>
          <w:b/>
          <w:sz w:val="24"/>
          <w:szCs w:val="24"/>
        </w:rPr>
      </w:pPr>
      <w:r w:rsidRPr="00462B98">
        <w:rPr>
          <w:b/>
          <w:sz w:val="24"/>
          <w:szCs w:val="24"/>
        </w:rPr>
        <w:t xml:space="preserve">School Year: 2023-24 </w:t>
      </w:r>
    </w:p>
    <w:p w14:paraId="1B0AA8EF" w14:textId="23F4F245" w:rsidR="00462B98" w:rsidRDefault="00462B98" w:rsidP="00462B98">
      <w:pPr>
        <w:rPr>
          <w:i/>
          <w:color w:val="4F81BD" w:themeColor="accent1"/>
          <w:sz w:val="18"/>
          <w:szCs w:val="18"/>
        </w:rPr>
      </w:pPr>
      <w:r>
        <w:rPr>
          <w:b/>
          <w:sz w:val="24"/>
          <w:szCs w:val="24"/>
        </w:rPr>
        <w:t>Lead governor / portfolio holder: Kevin Gough</w:t>
      </w:r>
    </w:p>
    <w:p w14:paraId="2B9F99EB" w14:textId="446E6F75" w:rsidR="00462B98" w:rsidRDefault="00462B98" w:rsidP="00C33277">
      <w:pPr>
        <w:rPr>
          <w:i/>
          <w:sz w:val="24"/>
          <w:szCs w:val="24"/>
        </w:rPr>
      </w:pPr>
      <w:r w:rsidRPr="00462B98">
        <w:rPr>
          <w:i/>
          <w:sz w:val="24"/>
          <w:szCs w:val="24"/>
        </w:rPr>
        <w:t>This portfolio was created in 2022-23 f</w:t>
      </w:r>
      <w:r>
        <w:rPr>
          <w:i/>
          <w:sz w:val="24"/>
          <w:szCs w:val="24"/>
        </w:rPr>
        <w:t>ollowing a decision to m</w:t>
      </w:r>
      <w:r w:rsidRPr="00462B98">
        <w:rPr>
          <w:i/>
          <w:sz w:val="24"/>
          <w:szCs w:val="24"/>
        </w:rPr>
        <w:t>erg</w:t>
      </w:r>
      <w:r>
        <w:rPr>
          <w:i/>
          <w:sz w:val="24"/>
          <w:szCs w:val="24"/>
        </w:rPr>
        <w:t>e</w:t>
      </w:r>
      <w:r w:rsidRPr="00462B98">
        <w:rPr>
          <w:i/>
          <w:sz w:val="24"/>
          <w:szCs w:val="24"/>
        </w:rPr>
        <w:t xml:space="preserve"> the Premises Portfolio and the Health &amp; Safety Portfolio. The terms of reference have not been fully merged so that, should any uncoupling of these two component parts be desired in the future, it would be straightforward to create separate TORs.</w:t>
      </w:r>
    </w:p>
    <w:p w14:paraId="79360C8E" w14:textId="77777777" w:rsidR="00243B06" w:rsidRDefault="00243B06" w:rsidP="00243B06">
      <w:pPr>
        <w:rPr>
          <w:b/>
          <w:sz w:val="24"/>
          <w:szCs w:val="24"/>
        </w:rPr>
      </w:pPr>
      <w:r w:rsidRPr="00243B06">
        <w:rPr>
          <w:i/>
          <w:color w:val="FF0000"/>
          <w:sz w:val="24"/>
          <w:szCs w:val="24"/>
        </w:rPr>
        <w:t>Note: as at October 2023, this Policy remains subject to review/amendment in relation to responsibilities around free school meals and related areas.</w:t>
      </w:r>
      <w:r w:rsidRPr="00243B06">
        <w:rPr>
          <w:b/>
          <w:sz w:val="24"/>
          <w:szCs w:val="24"/>
        </w:rPr>
        <w:t xml:space="preserve"> </w:t>
      </w:r>
    </w:p>
    <w:p w14:paraId="242AF5D9" w14:textId="6709ACC6" w:rsidR="00243B06" w:rsidRDefault="00243B06" w:rsidP="00243B06">
      <w:pPr>
        <w:rPr>
          <w:b/>
          <w:sz w:val="24"/>
          <w:szCs w:val="24"/>
        </w:rPr>
      </w:pPr>
      <w:r w:rsidRPr="00DD4938">
        <w:rPr>
          <w:b/>
          <w:sz w:val="24"/>
          <w:szCs w:val="24"/>
        </w:rPr>
        <w:t xml:space="preserve">Duties which are delegated to this governor / </w:t>
      </w:r>
      <w:r>
        <w:rPr>
          <w:b/>
          <w:sz w:val="24"/>
          <w:szCs w:val="24"/>
        </w:rPr>
        <w:t xml:space="preserve">trustee/ </w:t>
      </w:r>
      <w:r w:rsidRPr="00DD4938">
        <w:rPr>
          <w:b/>
          <w:sz w:val="24"/>
          <w:szCs w:val="24"/>
        </w:rPr>
        <w:t>this committee</w:t>
      </w:r>
      <w:r>
        <w:rPr>
          <w:b/>
          <w:sz w:val="24"/>
          <w:szCs w:val="24"/>
        </w:rPr>
        <w:t>:</w:t>
      </w:r>
    </w:p>
    <w:p w14:paraId="1F2654CF" w14:textId="77777777" w:rsidR="00243B06" w:rsidRPr="00DD4938" w:rsidRDefault="00243B06" w:rsidP="00243B06">
      <w:pPr>
        <w:rPr>
          <w:i/>
          <w:sz w:val="22"/>
        </w:rPr>
      </w:pPr>
      <w:r w:rsidRPr="00DD4938">
        <w:rPr>
          <w:i/>
          <w:sz w:val="22"/>
        </w:rPr>
        <w:t xml:space="preserve">Governing </w:t>
      </w:r>
      <w:r>
        <w:rPr>
          <w:i/>
          <w:sz w:val="22"/>
        </w:rPr>
        <w:t>boards</w:t>
      </w:r>
      <w:r w:rsidRPr="00DD4938">
        <w:rPr>
          <w:i/>
          <w:sz w:val="22"/>
        </w:rPr>
        <w:t xml:space="preserve"> may use their powers to delegate functions and decisions to committees or individual governors</w:t>
      </w:r>
      <w:r>
        <w:rPr>
          <w:i/>
          <w:sz w:val="22"/>
        </w:rPr>
        <w:t>/trustees</w:t>
      </w:r>
      <w:r w:rsidRPr="00DD4938">
        <w:rPr>
          <w:i/>
          <w:sz w:val="22"/>
        </w:rPr>
        <w:t xml:space="preserve">. It is the overall governing </w:t>
      </w:r>
      <w:r>
        <w:rPr>
          <w:i/>
          <w:sz w:val="22"/>
        </w:rPr>
        <w:t>board</w:t>
      </w:r>
      <w:r w:rsidRPr="00DD4938">
        <w:rPr>
          <w:i/>
          <w:sz w:val="22"/>
        </w:rPr>
        <w:t>, however, that in all cases remains accountable in law and to Ofsted for the exercise of its functions. (</w:t>
      </w:r>
      <w:r>
        <w:rPr>
          <w:i/>
          <w:sz w:val="22"/>
        </w:rPr>
        <w:t>Governance Handbook</w:t>
      </w:r>
      <w:r w:rsidRPr="00DD4938">
        <w:rPr>
          <w:i/>
          <w:sz w:val="22"/>
        </w:rPr>
        <w:t>.)</w:t>
      </w:r>
    </w:p>
    <w:p w14:paraId="1EA3FC63" w14:textId="0E519F64" w:rsidR="00C33277" w:rsidRPr="00FF3ED8" w:rsidRDefault="00C33277" w:rsidP="00FF3ED8">
      <w:pPr>
        <w:pStyle w:val="ListParagraph"/>
        <w:numPr>
          <w:ilvl w:val="0"/>
          <w:numId w:val="2"/>
        </w:numPr>
        <w:rPr>
          <w:b/>
          <w:sz w:val="32"/>
          <w:szCs w:val="32"/>
        </w:rPr>
      </w:pPr>
      <w:r w:rsidRPr="00FF3ED8">
        <w:rPr>
          <w:b/>
          <w:sz w:val="32"/>
          <w:szCs w:val="32"/>
        </w:rPr>
        <w:t>Premises</w:t>
      </w:r>
      <w:r w:rsidR="009F1296" w:rsidRPr="00FF3ED8">
        <w:rPr>
          <w:b/>
          <w:sz w:val="32"/>
          <w:szCs w:val="32"/>
        </w:rPr>
        <w:t xml:space="preserve"> – Terms of Reference</w:t>
      </w:r>
      <w:r w:rsidRPr="00FF3ED8">
        <w:rPr>
          <w:b/>
          <w:sz w:val="32"/>
          <w:szCs w:val="32"/>
        </w:rPr>
        <w:t xml:space="preserve"> </w:t>
      </w:r>
    </w:p>
    <w:p w14:paraId="2F77D3C2" w14:textId="77777777" w:rsidR="00C33277" w:rsidRPr="000A0FEF" w:rsidRDefault="00C33277" w:rsidP="00C33277">
      <w:pPr>
        <w:rPr>
          <w:i/>
          <w:color w:val="4F81BD" w:themeColor="accent1"/>
          <w:sz w:val="18"/>
          <w:szCs w:val="18"/>
        </w:rPr>
      </w:pPr>
      <w:r w:rsidRPr="000A0FEF">
        <w:rPr>
          <w:b/>
          <w:sz w:val="24"/>
          <w:szCs w:val="24"/>
        </w:rPr>
        <w:t>Policies</w:t>
      </w:r>
      <w:r>
        <w:rPr>
          <w:b/>
          <w:sz w:val="24"/>
          <w:szCs w:val="24"/>
        </w:rPr>
        <w:t xml:space="preserve"> and Documents</w:t>
      </w:r>
      <w:r w:rsidRPr="000A0FEF">
        <w:rPr>
          <w:b/>
          <w:sz w:val="24"/>
          <w:szCs w:val="24"/>
        </w:rPr>
        <w:t xml:space="preserve"> delegated t</w:t>
      </w:r>
      <w:r>
        <w:rPr>
          <w:b/>
          <w:sz w:val="24"/>
          <w:szCs w:val="24"/>
        </w:rPr>
        <w:t xml:space="preserve">o this governor / trustee/ this committee:                              </w:t>
      </w:r>
    </w:p>
    <w:p w14:paraId="0A25A6A2" w14:textId="0503CBEE" w:rsidR="00101418" w:rsidRPr="00101418" w:rsidRDefault="00101418" w:rsidP="00101418">
      <w:pPr>
        <w:pStyle w:val="ListParagraph"/>
        <w:numPr>
          <w:ilvl w:val="0"/>
          <w:numId w:val="1"/>
        </w:numPr>
        <w:rPr>
          <w:rFonts w:eastAsia="Arial" w:cs="Arial"/>
          <w:sz w:val="22"/>
        </w:rPr>
      </w:pPr>
      <w:r w:rsidRPr="00101418">
        <w:rPr>
          <w:rFonts w:eastAsia="Arial" w:cs="Arial"/>
          <w:sz w:val="22"/>
        </w:rPr>
        <w:t xml:space="preserve">The portfolio holder may have lead governor responsibility for </w:t>
      </w:r>
      <w:r>
        <w:rPr>
          <w:rFonts w:eastAsia="Arial" w:cs="Arial"/>
          <w:sz w:val="22"/>
        </w:rPr>
        <w:t>certain</w:t>
      </w:r>
      <w:r w:rsidRPr="00101418">
        <w:rPr>
          <w:rFonts w:eastAsia="Arial" w:cs="Arial"/>
          <w:sz w:val="22"/>
        </w:rPr>
        <w:t xml:space="preserve"> policies and these are set out in the annual Policy Review Schedule maintained by the Clerk.  </w:t>
      </w:r>
    </w:p>
    <w:tbl>
      <w:tblPr>
        <w:tblStyle w:val="TableGrid"/>
        <w:tblW w:w="0" w:type="auto"/>
        <w:tblLook w:val="04A0" w:firstRow="1" w:lastRow="0" w:firstColumn="1" w:lastColumn="0" w:noHBand="0" w:noVBand="1"/>
      </w:tblPr>
      <w:tblGrid>
        <w:gridCol w:w="7915"/>
        <w:gridCol w:w="375"/>
      </w:tblGrid>
      <w:tr w:rsidR="00C33277" w14:paraId="1F1A360D" w14:textId="77777777" w:rsidTr="00585DDB">
        <w:tc>
          <w:tcPr>
            <w:tcW w:w="0" w:type="auto"/>
          </w:tcPr>
          <w:p w14:paraId="4C7AC272" w14:textId="0DB86F44" w:rsidR="00C33277" w:rsidRDefault="00C33277" w:rsidP="00243B06">
            <w:pPr>
              <w:spacing w:after="0"/>
              <w:rPr>
                <w:sz w:val="22"/>
              </w:rPr>
            </w:pPr>
            <w:r>
              <w:rPr>
                <w:sz w:val="22"/>
              </w:rPr>
              <w:t xml:space="preserve">To assist the </w:t>
            </w:r>
            <w:r w:rsidR="00243B06">
              <w:rPr>
                <w:sz w:val="22"/>
              </w:rPr>
              <w:t>H</w:t>
            </w:r>
            <w:r>
              <w:rPr>
                <w:sz w:val="22"/>
              </w:rPr>
              <w:t>eadteacher and discharge the responsibilities of the governing board on matters relating to the school premises and grounds, security and environment</w:t>
            </w:r>
          </w:p>
        </w:tc>
        <w:tc>
          <w:tcPr>
            <w:tcW w:w="0" w:type="auto"/>
          </w:tcPr>
          <w:p w14:paraId="1C826A88" w14:textId="77777777" w:rsidR="00C33277" w:rsidRDefault="00C33277" w:rsidP="00C33277">
            <w:pPr>
              <w:spacing w:after="0"/>
              <w:rPr>
                <w:sz w:val="22"/>
              </w:rPr>
            </w:pPr>
          </w:p>
          <w:p w14:paraId="523D9216" w14:textId="77777777" w:rsidR="00C33277" w:rsidRDefault="00C33277" w:rsidP="00C33277">
            <w:pPr>
              <w:spacing w:after="0"/>
              <w:rPr>
                <w:sz w:val="22"/>
              </w:rPr>
            </w:pPr>
            <w:r>
              <w:rPr>
                <w:sz w:val="22"/>
              </w:rPr>
              <w:t>D</w:t>
            </w:r>
          </w:p>
        </w:tc>
      </w:tr>
      <w:tr w:rsidR="00C33277" w14:paraId="1139E239" w14:textId="77777777" w:rsidTr="00585DDB">
        <w:tc>
          <w:tcPr>
            <w:tcW w:w="0" w:type="auto"/>
          </w:tcPr>
          <w:p w14:paraId="4B986551" w14:textId="77777777" w:rsidR="00C33277" w:rsidRPr="00C33277" w:rsidRDefault="00C33277" w:rsidP="00C33277">
            <w:pPr>
              <w:spacing w:after="0"/>
              <w:rPr>
                <w:rFonts w:cs="Arial"/>
                <w:sz w:val="22"/>
              </w:rPr>
            </w:pPr>
            <w:r w:rsidRPr="00CE2FA3">
              <w:rPr>
                <w:rFonts w:cs="Arial"/>
                <w:sz w:val="22"/>
              </w:rPr>
              <w:t xml:space="preserve">To </w:t>
            </w:r>
            <w:r>
              <w:rPr>
                <w:rFonts w:cs="Arial"/>
                <w:sz w:val="22"/>
              </w:rPr>
              <w:t>ensure</w:t>
            </w:r>
            <w:r w:rsidRPr="00CE2FA3">
              <w:rPr>
                <w:rFonts w:cs="Arial"/>
                <w:sz w:val="22"/>
              </w:rPr>
              <w:t xml:space="preserve"> an annual inspection of the premises and grounds</w:t>
            </w:r>
            <w:r>
              <w:rPr>
                <w:rFonts w:cs="Arial"/>
                <w:sz w:val="22"/>
              </w:rPr>
              <w:t xml:space="preserve"> is carried out and reported;</w:t>
            </w:r>
            <w:r w:rsidRPr="00CE2FA3">
              <w:rPr>
                <w:rFonts w:cs="Arial"/>
                <w:sz w:val="22"/>
              </w:rPr>
              <w:t xml:space="preserve"> receive reports from staff and agree a statement of priorities for maintenance and improvement (with reference to the Asset Management Plan)</w:t>
            </w:r>
            <w:r>
              <w:rPr>
                <w:rFonts w:cs="Arial"/>
                <w:sz w:val="22"/>
              </w:rPr>
              <w:t>.</w:t>
            </w:r>
          </w:p>
        </w:tc>
        <w:tc>
          <w:tcPr>
            <w:tcW w:w="0" w:type="auto"/>
          </w:tcPr>
          <w:p w14:paraId="3073B10A" w14:textId="77777777" w:rsidR="00C33277" w:rsidRDefault="00C33277" w:rsidP="00C33277">
            <w:pPr>
              <w:spacing w:after="0"/>
              <w:rPr>
                <w:sz w:val="22"/>
              </w:rPr>
            </w:pPr>
          </w:p>
          <w:p w14:paraId="615B9397" w14:textId="77777777" w:rsidR="00C33277" w:rsidRDefault="00C33277" w:rsidP="00C33277">
            <w:pPr>
              <w:spacing w:after="0"/>
              <w:rPr>
                <w:sz w:val="22"/>
              </w:rPr>
            </w:pPr>
            <w:r>
              <w:rPr>
                <w:sz w:val="22"/>
              </w:rPr>
              <w:t>D</w:t>
            </w:r>
          </w:p>
        </w:tc>
      </w:tr>
      <w:tr w:rsidR="00C33277" w14:paraId="680A12AD" w14:textId="77777777" w:rsidTr="00585DDB">
        <w:tc>
          <w:tcPr>
            <w:tcW w:w="0" w:type="auto"/>
          </w:tcPr>
          <w:p w14:paraId="74A85A6D" w14:textId="77777777" w:rsidR="00C33277" w:rsidRPr="00C33277" w:rsidRDefault="00C33277" w:rsidP="00C33277">
            <w:pPr>
              <w:spacing w:after="0"/>
              <w:rPr>
                <w:rFonts w:cs="Arial"/>
                <w:sz w:val="22"/>
              </w:rPr>
            </w:pPr>
            <w:r w:rsidRPr="00CE2FA3">
              <w:rPr>
                <w:rFonts w:cs="Arial"/>
                <w:sz w:val="22"/>
              </w:rPr>
              <w:t>To agree the costs and arrangements for maintenance, repairs and redecoration within the budget allocation</w:t>
            </w:r>
            <w:r>
              <w:rPr>
                <w:rFonts w:cs="Arial"/>
                <w:sz w:val="22"/>
              </w:rPr>
              <w:t>.</w:t>
            </w:r>
          </w:p>
        </w:tc>
        <w:tc>
          <w:tcPr>
            <w:tcW w:w="0" w:type="auto"/>
          </w:tcPr>
          <w:p w14:paraId="79A210DD" w14:textId="77777777" w:rsidR="00C33277" w:rsidRDefault="00C33277" w:rsidP="00C33277">
            <w:pPr>
              <w:spacing w:after="0"/>
              <w:rPr>
                <w:sz w:val="22"/>
              </w:rPr>
            </w:pPr>
          </w:p>
          <w:p w14:paraId="596DE57F" w14:textId="77777777" w:rsidR="00C33277" w:rsidRDefault="00C33277" w:rsidP="00C33277">
            <w:pPr>
              <w:spacing w:after="0"/>
              <w:rPr>
                <w:sz w:val="22"/>
              </w:rPr>
            </w:pPr>
            <w:r>
              <w:rPr>
                <w:sz w:val="22"/>
              </w:rPr>
              <w:t>D</w:t>
            </w:r>
          </w:p>
        </w:tc>
      </w:tr>
      <w:tr w:rsidR="00C33277" w14:paraId="4FED0553" w14:textId="77777777" w:rsidTr="00585DDB">
        <w:tc>
          <w:tcPr>
            <w:tcW w:w="0" w:type="auto"/>
          </w:tcPr>
          <w:p w14:paraId="657B5302" w14:textId="77777777" w:rsidR="00C33277" w:rsidRPr="00C33277" w:rsidRDefault="00C33277" w:rsidP="00C33277">
            <w:pPr>
              <w:spacing w:after="0"/>
              <w:rPr>
                <w:rFonts w:cs="Arial"/>
                <w:sz w:val="22"/>
              </w:rPr>
            </w:pPr>
            <w:r w:rsidRPr="00CE2FA3">
              <w:rPr>
                <w:rFonts w:cs="Arial"/>
                <w:sz w:val="22"/>
              </w:rPr>
              <w:t>To oversee the preparation and implementation of contracts, ensuring best value (see above) principles are adhered to</w:t>
            </w:r>
            <w:r>
              <w:rPr>
                <w:rFonts w:cs="Arial"/>
                <w:sz w:val="22"/>
              </w:rPr>
              <w:t xml:space="preserve">.  </w:t>
            </w:r>
          </w:p>
        </w:tc>
        <w:tc>
          <w:tcPr>
            <w:tcW w:w="0" w:type="auto"/>
          </w:tcPr>
          <w:p w14:paraId="472C5D9A" w14:textId="77777777" w:rsidR="00C33277" w:rsidRDefault="00C33277" w:rsidP="00C33277">
            <w:pPr>
              <w:spacing w:after="0"/>
              <w:rPr>
                <w:sz w:val="22"/>
              </w:rPr>
            </w:pPr>
          </w:p>
          <w:p w14:paraId="0C0FA9AD" w14:textId="77777777" w:rsidR="00C33277" w:rsidRDefault="00C33277" w:rsidP="00C33277">
            <w:pPr>
              <w:spacing w:after="0"/>
              <w:rPr>
                <w:sz w:val="22"/>
              </w:rPr>
            </w:pPr>
            <w:r>
              <w:rPr>
                <w:sz w:val="22"/>
              </w:rPr>
              <w:t>D</w:t>
            </w:r>
          </w:p>
        </w:tc>
      </w:tr>
      <w:tr w:rsidR="00C33277" w14:paraId="59602E38" w14:textId="77777777" w:rsidTr="00585DDB">
        <w:tc>
          <w:tcPr>
            <w:tcW w:w="0" w:type="auto"/>
          </w:tcPr>
          <w:p w14:paraId="52F212D3" w14:textId="77777777" w:rsidR="00C33277" w:rsidRDefault="00C33277" w:rsidP="00C33277">
            <w:pPr>
              <w:spacing w:after="0"/>
              <w:rPr>
                <w:sz w:val="22"/>
              </w:rPr>
            </w:pPr>
            <w:r>
              <w:rPr>
                <w:sz w:val="22"/>
              </w:rPr>
              <w:t>To agree a lettings policy.</w:t>
            </w:r>
          </w:p>
        </w:tc>
        <w:tc>
          <w:tcPr>
            <w:tcW w:w="0" w:type="auto"/>
          </w:tcPr>
          <w:p w14:paraId="2BC9020B" w14:textId="77777777" w:rsidR="00C33277" w:rsidRDefault="00C33277" w:rsidP="00C33277">
            <w:pPr>
              <w:spacing w:after="0"/>
              <w:rPr>
                <w:sz w:val="22"/>
              </w:rPr>
            </w:pPr>
            <w:r>
              <w:rPr>
                <w:sz w:val="22"/>
              </w:rPr>
              <w:t>D</w:t>
            </w:r>
          </w:p>
        </w:tc>
      </w:tr>
      <w:tr w:rsidR="00C33277" w14:paraId="766AFD59" w14:textId="77777777" w:rsidTr="00585DDB">
        <w:tc>
          <w:tcPr>
            <w:tcW w:w="0" w:type="auto"/>
          </w:tcPr>
          <w:p w14:paraId="59DA0C75" w14:textId="77777777" w:rsidR="00C33277" w:rsidRDefault="00C33277" w:rsidP="00C33277">
            <w:pPr>
              <w:spacing w:after="0"/>
              <w:rPr>
                <w:sz w:val="22"/>
              </w:rPr>
            </w:pPr>
            <w:r>
              <w:rPr>
                <w:rFonts w:cs="Arial"/>
                <w:sz w:val="22"/>
              </w:rPr>
              <w:t>T</w:t>
            </w:r>
            <w:r w:rsidRPr="00CE2FA3">
              <w:rPr>
                <w:rFonts w:cs="Arial"/>
                <w:sz w:val="22"/>
              </w:rPr>
              <w:t>o agree</w:t>
            </w:r>
            <w:r>
              <w:rPr>
                <w:rFonts w:cs="Arial"/>
                <w:sz w:val="22"/>
              </w:rPr>
              <w:t>, evaluate and review the schools</w:t>
            </w:r>
            <w:r w:rsidRPr="00CE2FA3">
              <w:rPr>
                <w:rFonts w:cs="Arial"/>
                <w:sz w:val="22"/>
              </w:rPr>
              <w:t xml:space="preserve"> Accessibility Plan</w:t>
            </w:r>
          </w:p>
        </w:tc>
        <w:tc>
          <w:tcPr>
            <w:tcW w:w="0" w:type="auto"/>
          </w:tcPr>
          <w:p w14:paraId="1D1CD6D9" w14:textId="77777777" w:rsidR="00C33277" w:rsidRDefault="00C33277" w:rsidP="00C33277">
            <w:pPr>
              <w:spacing w:after="0"/>
              <w:rPr>
                <w:sz w:val="22"/>
              </w:rPr>
            </w:pPr>
            <w:r>
              <w:rPr>
                <w:sz w:val="22"/>
              </w:rPr>
              <w:t>D</w:t>
            </w:r>
          </w:p>
        </w:tc>
      </w:tr>
      <w:tr w:rsidR="00C33277" w14:paraId="1F304E62" w14:textId="77777777" w:rsidTr="00585DDB">
        <w:tc>
          <w:tcPr>
            <w:tcW w:w="0" w:type="auto"/>
          </w:tcPr>
          <w:p w14:paraId="01863A38" w14:textId="77777777" w:rsidR="00C33277" w:rsidRPr="00C33277" w:rsidRDefault="00C33277" w:rsidP="00C33277">
            <w:pPr>
              <w:spacing w:after="0"/>
              <w:rPr>
                <w:rFonts w:cs="Arial"/>
                <w:sz w:val="22"/>
              </w:rPr>
            </w:pPr>
            <w:r w:rsidRPr="00C33277">
              <w:rPr>
                <w:rFonts w:cs="Arial"/>
                <w:sz w:val="22"/>
              </w:rPr>
              <w:t xml:space="preserve">Review catering/school meals/ vending machines/ nutritional policy. Re-affirm food standards in line with statutory duties. </w:t>
            </w:r>
          </w:p>
        </w:tc>
        <w:tc>
          <w:tcPr>
            <w:tcW w:w="0" w:type="auto"/>
          </w:tcPr>
          <w:p w14:paraId="157425A0" w14:textId="77777777" w:rsidR="00C33277" w:rsidRDefault="00C33277" w:rsidP="00C33277">
            <w:pPr>
              <w:spacing w:after="0"/>
              <w:rPr>
                <w:sz w:val="22"/>
              </w:rPr>
            </w:pPr>
          </w:p>
          <w:p w14:paraId="23D43635" w14:textId="77777777" w:rsidR="00C33277" w:rsidRDefault="00C33277" w:rsidP="00C33277">
            <w:pPr>
              <w:spacing w:after="0"/>
              <w:rPr>
                <w:sz w:val="22"/>
              </w:rPr>
            </w:pPr>
            <w:r>
              <w:rPr>
                <w:sz w:val="22"/>
              </w:rPr>
              <w:t>D</w:t>
            </w:r>
          </w:p>
        </w:tc>
      </w:tr>
    </w:tbl>
    <w:p w14:paraId="1B3BCD7F" w14:textId="0E1E422B" w:rsidR="004A30CA" w:rsidRDefault="004A30CA"/>
    <w:p w14:paraId="55F08704" w14:textId="77777777" w:rsidR="00FF3ED8" w:rsidRDefault="00FF3ED8">
      <w:pPr>
        <w:spacing w:after="0" w:line="240" w:lineRule="auto"/>
      </w:pPr>
      <w:r>
        <w:br w:type="page"/>
      </w:r>
    </w:p>
    <w:p w14:paraId="0D5BCBEC" w14:textId="2ED13B9F" w:rsidR="00FF3ED8" w:rsidRPr="00FF3ED8" w:rsidRDefault="00FF3ED8" w:rsidP="00FF3ED8">
      <w:pPr>
        <w:pStyle w:val="ListParagraph"/>
        <w:numPr>
          <w:ilvl w:val="0"/>
          <w:numId w:val="2"/>
        </w:numPr>
        <w:rPr>
          <w:b/>
          <w:sz w:val="32"/>
          <w:szCs w:val="32"/>
        </w:rPr>
      </w:pPr>
      <w:r w:rsidRPr="00FF3ED8">
        <w:rPr>
          <w:b/>
          <w:sz w:val="32"/>
          <w:szCs w:val="32"/>
        </w:rPr>
        <w:lastRenderedPageBreak/>
        <w:t>Health &amp; Safety portfolio – Terms of Reference</w:t>
      </w:r>
    </w:p>
    <w:p w14:paraId="15AAC9B2" w14:textId="77777777" w:rsidR="00FF3ED8" w:rsidRPr="000A0FEF" w:rsidRDefault="00FF3ED8" w:rsidP="00FF3ED8">
      <w:pPr>
        <w:rPr>
          <w:i/>
          <w:color w:val="4F81BD" w:themeColor="accent1"/>
          <w:sz w:val="18"/>
          <w:szCs w:val="18"/>
        </w:rPr>
      </w:pPr>
      <w:r w:rsidRPr="000A0FEF">
        <w:rPr>
          <w:b/>
          <w:sz w:val="24"/>
          <w:szCs w:val="24"/>
        </w:rPr>
        <w:t>Policies</w:t>
      </w:r>
      <w:r>
        <w:rPr>
          <w:b/>
          <w:sz w:val="24"/>
          <w:szCs w:val="24"/>
        </w:rPr>
        <w:t xml:space="preserve"> and Documents</w:t>
      </w:r>
      <w:r w:rsidRPr="000A0FEF">
        <w:rPr>
          <w:b/>
          <w:sz w:val="24"/>
          <w:szCs w:val="24"/>
        </w:rPr>
        <w:t xml:space="preserve"> delegated t</w:t>
      </w:r>
      <w:r>
        <w:rPr>
          <w:b/>
          <w:sz w:val="24"/>
          <w:szCs w:val="24"/>
        </w:rPr>
        <w:t xml:space="preserve">o this governor / trustee/ this committee:                              </w:t>
      </w:r>
    </w:p>
    <w:p w14:paraId="3AC03B04" w14:textId="3610B703" w:rsidR="00FF3ED8" w:rsidRPr="00243B06" w:rsidRDefault="00FF3ED8" w:rsidP="00FF3ED8">
      <w:pPr>
        <w:rPr>
          <w:rFonts w:eastAsia="Arial" w:cs="Arial"/>
          <w:sz w:val="22"/>
        </w:rPr>
      </w:pPr>
      <w:r>
        <w:rPr>
          <w:rFonts w:eastAsia="Arial" w:cs="Arial"/>
          <w:sz w:val="22"/>
        </w:rPr>
        <w:t xml:space="preserve">The portfolio holder may have lead governor responsibility for specific policies and these are set out in the annual Policy Review Schedule maintained by the Clerk.  </w:t>
      </w:r>
      <w:bookmarkStart w:id="0" w:name="_GoBack"/>
      <w:bookmarkEnd w:id="0"/>
    </w:p>
    <w:tbl>
      <w:tblPr>
        <w:tblStyle w:val="TableGrid"/>
        <w:tblW w:w="0" w:type="auto"/>
        <w:tblLook w:val="04A0" w:firstRow="1" w:lastRow="0" w:firstColumn="1" w:lastColumn="0" w:noHBand="0" w:noVBand="1"/>
      </w:tblPr>
      <w:tblGrid>
        <w:gridCol w:w="7915"/>
        <w:gridCol w:w="375"/>
      </w:tblGrid>
      <w:tr w:rsidR="00FF3ED8" w14:paraId="41A277D0" w14:textId="77777777" w:rsidTr="00E67483">
        <w:tc>
          <w:tcPr>
            <w:tcW w:w="0" w:type="auto"/>
          </w:tcPr>
          <w:p w14:paraId="7D59A222" w14:textId="3743B5E1" w:rsidR="00FF3ED8" w:rsidRDefault="00FF3ED8" w:rsidP="00FF3ED8">
            <w:pPr>
              <w:rPr>
                <w:sz w:val="22"/>
              </w:rPr>
            </w:pPr>
            <w:r>
              <w:rPr>
                <w:sz w:val="22"/>
              </w:rPr>
              <w:t>To assist the Headteacher and discharge the responsibilities of the governing board on matters relating to Health and Safety issues within the school</w:t>
            </w:r>
          </w:p>
        </w:tc>
        <w:tc>
          <w:tcPr>
            <w:tcW w:w="0" w:type="auto"/>
          </w:tcPr>
          <w:p w14:paraId="15E30779" w14:textId="77777777" w:rsidR="00FF3ED8" w:rsidRDefault="00FF3ED8" w:rsidP="00E67483">
            <w:pPr>
              <w:rPr>
                <w:sz w:val="22"/>
              </w:rPr>
            </w:pPr>
            <w:r>
              <w:rPr>
                <w:sz w:val="22"/>
              </w:rPr>
              <w:t>D</w:t>
            </w:r>
          </w:p>
        </w:tc>
      </w:tr>
      <w:tr w:rsidR="00FF3ED8" w14:paraId="56944A93" w14:textId="77777777" w:rsidTr="00E67483">
        <w:tc>
          <w:tcPr>
            <w:tcW w:w="0" w:type="auto"/>
          </w:tcPr>
          <w:p w14:paraId="432644EA" w14:textId="77777777" w:rsidR="00FF3ED8" w:rsidRPr="00165051" w:rsidRDefault="00FF3ED8" w:rsidP="00E67483">
            <w:pPr>
              <w:rPr>
                <w:rFonts w:cs="Arial"/>
                <w:sz w:val="22"/>
              </w:rPr>
            </w:pPr>
            <w:r w:rsidRPr="00CE2FA3">
              <w:rPr>
                <w:rFonts w:cs="Arial"/>
                <w:sz w:val="22"/>
              </w:rPr>
              <w:t>To consider the advice and recommendations and the model Health and Safety Policy supplied by the Local Authority and to agree and keep under review a Health and Safety Policy for the school</w:t>
            </w:r>
          </w:p>
        </w:tc>
        <w:tc>
          <w:tcPr>
            <w:tcW w:w="0" w:type="auto"/>
          </w:tcPr>
          <w:p w14:paraId="4C182D72" w14:textId="77777777" w:rsidR="00FF3ED8" w:rsidRDefault="00FF3ED8" w:rsidP="00E67483">
            <w:pPr>
              <w:rPr>
                <w:sz w:val="22"/>
              </w:rPr>
            </w:pPr>
            <w:r w:rsidRPr="66F4C0DF">
              <w:rPr>
                <w:sz w:val="22"/>
              </w:rPr>
              <w:t>D</w:t>
            </w:r>
          </w:p>
        </w:tc>
      </w:tr>
      <w:tr w:rsidR="00FF3ED8" w14:paraId="4B42AF48" w14:textId="77777777" w:rsidTr="00E67483">
        <w:tc>
          <w:tcPr>
            <w:tcW w:w="0" w:type="auto"/>
          </w:tcPr>
          <w:p w14:paraId="519F1785" w14:textId="77777777" w:rsidR="00FF3ED8" w:rsidRPr="00165051" w:rsidRDefault="00FF3ED8" w:rsidP="00E67483">
            <w:pPr>
              <w:rPr>
                <w:rFonts w:cs="Arial"/>
                <w:sz w:val="22"/>
              </w:rPr>
            </w:pPr>
            <w:r w:rsidRPr="00CE2FA3">
              <w:rPr>
                <w:rFonts w:cs="Arial"/>
                <w:sz w:val="22"/>
              </w:rPr>
              <w:t>To ensure that the necessary school management organisation is in place to implement the school’s Health and Safety Policy</w:t>
            </w:r>
          </w:p>
        </w:tc>
        <w:tc>
          <w:tcPr>
            <w:tcW w:w="0" w:type="auto"/>
          </w:tcPr>
          <w:p w14:paraId="068F8735" w14:textId="77777777" w:rsidR="00FF3ED8" w:rsidRDefault="00FF3ED8" w:rsidP="00E67483">
            <w:pPr>
              <w:rPr>
                <w:sz w:val="22"/>
              </w:rPr>
            </w:pPr>
            <w:r>
              <w:rPr>
                <w:sz w:val="22"/>
              </w:rPr>
              <w:t>D</w:t>
            </w:r>
          </w:p>
        </w:tc>
      </w:tr>
      <w:tr w:rsidR="00FF3ED8" w14:paraId="3CDA67C3" w14:textId="77777777" w:rsidTr="00E67483">
        <w:tc>
          <w:tcPr>
            <w:tcW w:w="0" w:type="auto"/>
          </w:tcPr>
          <w:p w14:paraId="56CC1A5A" w14:textId="77777777" w:rsidR="00FF3ED8" w:rsidRPr="00165051" w:rsidRDefault="00FF3ED8" w:rsidP="00E67483">
            <w:pPr>
              <w:rPr>
                <w:rFonts w:cs="Arial"/>
                <w:sz w:val="22"/>
              </w:rPr>
            </w:pPr>
            <w:r w:rsidRPr="00CE2FA3">
              <w:rPr>
                <w:rFonts w:cs="Arial"/>
                <w:sz w:val="22"/>
              </w:rPr>
              <w:t>To monitor the effectiveness of the school’s Health and Safety arrangements</w:t>
            </w:r>
          </w:p>
        </w:tc>
        <w:tc>
          <w:tcPr>
            <w:tcW w:w="0" w:type="auto"/>
          </w:tcPr>
          <w:p w14:paraId="1B94F728" w14:textId="77777777" w:rsidR="00FF3ED8" w:rsidRDefault="00FF3ED8" w:rsidP="00E67483">
            <w:pPr>
              <w:rPr>
                <w:sz w:val="22"/>
              </w:rPr>
            </w:pPr>
            <w:r>
              <w:rPr>
                <w:sz w:val="22"/>
              </w:rPr>
              <w:t>D</w:t>
            </w:r>
          </w:p>
        </w:tc>
      </w:tr>
      <w:tr w:rsidR="00FF3ED8" w14:paraId="69060C67" w14:textId="77777777" w:rsidTr="00E67483">
        <w:tc>
          <w:tcPr>
            <w:tcW w:w="0" w:type="auto"/>
          </w:tcPr>
          <w:p w14:paraId="170BA91A" w14:textId="77777777" w:rsidR="00FF3ED8" w:rsidRDefault="00FF3ED8" w:rsidP="00E67483">
            <w:pPr>
              <w:rPr>
                <w:sz w:val="22"/>
              </w:rPr>
            </w:pPr>
            <w:r>
              <w:rPr>
                <w:sz w:val="22"/>
              </w:rPr>
              <w:t>Ensure that appropriate risk assessments, including annual fire risk assessment, take place and are acted upon</w:t>
            </w:r>
          </w:p>
        </w:tc>
        <w:tc>
          <w:tcPr>
            <w:tcW w:w="0" w:type="auto"/>
          </w:tcPr>
          <w:p w14:paraId="31C83781" w14:textId="77777777" w:rsidR="00FF3ED8" w:rsidRDefault="00FF3ED8" w:rsidP="00E67483">
            <w:pPr>
              <w:rPr>
                <w:sz w:val="22"/>
              </w:rPr>
            </w:pPr>
            <w:r>
              <w:rPr>
                <w:sz w:val="22"/>
              </w:rPr>
              <w:t>D</w:t>
            </w:r>
          </w:p>
        </w:tc>
      </w:tr>
      <w:tr w:rsidR="00FF3ED8" w14:paraId="16D8903B" w14:textId="77777777" w:rsidTr="00E67483">
        <w:tc>
          <w:tcPr>
            <w:tcW w:w="0" w:type="auto"/>
          </w:tcPr>
          <w:p w14:paraId="0C3573F5" w14:textId="77777777" w:rsidR="00FF3ED8" w:rsidRDefault="00FF3ED8" w:rsidP="00E67483">
            <w:pPr>
              <w:rPr>
                <w:sz w:val="22"/>
              </w:rPr>
            </w:pPr>
            <w:r>
              <w:rPr>
                <w:sz w:val="22"/>
              </w:rPr>
              <w:t>Ensure that the free school meal provision is being met</w:t>
            </w:r>
          </w:p>
        </w:tc>
        <w:tc>
          <w:tcPr>
            <w:tcW w:w="0" w:type="auto"/>
          </w:tcPr>
          <w:p w14:paraId="29FAD560" w14:textId="77777777" w:rsidR="00FF3ED8" w:rsidRDefault="00FF3ED8" w:rsidP="00E67483">
            <w:pPr>
              <w:rPr>
                <w:sz w:val="22"/>
              </w:rPr>
            </w:pPr>
            <w:r>
              <w:rPr>
                <w:sz w:val="22"/>
              </w:rPr>
              <w:t>D</w:t>
            </w:r>
          </w:p>
        </w:tc>
      </w:tr>
      <w:tr w:rsidR="00FF3ED8" w14:paraId="59335043" w14:textId="77777777" w:rsidTr="00E67483">
        <w:tc>
          <w:tcPr>
            <w:tcW w:w="0" w:type="auto"/>
          </w:tcPr>
          <w:p w14:paraId="675F083C" w14:textId="77777777" w:rsidR="00FF3ED8" w:rsidRDefault="00FF3ED8" w:rsidP="00E67483">
            <w:pPr>
              <w:rPr>
                <w:sz w:val="22"/>
              </w:rPr>
            </w:pPr>
            <w:r>
              <w:rPr>
                <w:sz w:val="22"/>
              </w:rPr>
              <w:t>Ensure that nominated First Aiders have appropriate training which is kept up to date.</w:t>
            </w:r>
          </w:p>
        </w:tc>
        <w:tc>
          <w:tcPr>
            <w:tcW w:w="0" w:type="auto"/>
          </w:tcPr>
          <w:p w14:paraId="7FEA43AD" w14:textId="77777777" w:rsidR="00FF3ED8" w:rsidRDefault="00FF3ED8" w:rsidP="00E67483">
            <w:pPr>
              <w:rPr>
                <w:sz w:val="22"/>
              </w:rPr>
            </w:pPr>
            <w:r>
              <w:rPr>
                <w:sz w:val="22"/>
              </w:rPr>
              <w:t>D</w:t>
            </w:r>
          </w:p>
        </w:tc>
      </w:tr>
    </w:tbl>
    <w:p w14:paraId="209B0377" w14:textId="77777777" w:rsidR="00FF3ED8" w:rsidRDefault="00FF3ED8" w:rsidP="00FF3ED8"/>
    <w:tbl>
      <w:tblPr>
        <w:tblStyle w:val="TableGrid"/>
        <w:tblW w:w="0" w:type="auto"/>
        <w:tblLook w:val="04A0" w:firstRow="1" w:lastRow="0" w:firstColumn="1" w:lastColumn="0" w:noHBand="0" w:noVBand="1"/>
      </w:tblPr>
      <w:tblGrid>
        <w:gridCol w:w="8290"/>
      </w:tblGrid>
      <w:tr w:rsidR="00FF3ED8" w14:paraId="12B1D9F1" w14:textId="77777777" w:rsidTr="00E67483">
        <w:tc>
          <w:tcPr>
            <w:tcW w:w="10682" w:type="dxa"/>
          </w:tcPr>
          <w:p w14:paraId="75E0BFFF" w14:textId="0D085A6C" w:rsidR="00FF3ED8" w:rsidRDefault="00FF3ED8" w:rsidP="00E67483">
            <w:pPr>
              <w:rPr>
                <w:rFonts w:eastAsia="Arial" w:cs="Arial"/>
                <w:sz w:val="22"/>
              </w:rPr>
            </w:pPr>
            <w:r w:rsidRPr="7DADE07E">
              <w:rPr>
                <w:rFonts w:eastAsia="Arial" w:cs="Arial"/>
                <w:b/>
                <w:bCs/>
                <w:sz w:val="22"/>
              </w:rPr>
              <w:t xml:space="preserve">Date agreed at meeting of Full Governing Board: Wednesday </w:t>
            </w:r>
            <w:r>
              <w:rPr>
                <w:rFonts w:eastAsia="Arial" w:cs="Arial"/>
                <w:b/>
                <w:bCs/>
                <w:sz w:val="22"/>
              </w:rPr>
              <w:t>13</w:t>
            </w:r>
            <w:r w:rsidRPr="7DADE07E">
              <w:rPr>
                <w:rFonts w:eastAsia="Arial" w:cs="Arial"/>
                <w:b/>
                <w:bCs/>
                <w:sz w:val="22"/>
              </w:rPr>
              <w:t xml:space="preserve"> September 202</w:t>
            </w:r>
            <w:r w:rsidR="00243B06">
              <w:rPr>
                <w:rFonts w:eastAsia="Arial" w:cs="Arial"/>
                <w:b/>
                <w:bCs/>
                <w:sz w:val="22"/>
              </w:rPr>
              <w:t>3</w:t>
            </w:r>
          </w:p>
          <w:p w14:paraId="4A329CB0" w14:textId="4FF78031" w:rsidR="00FF3ED8" w:rsidRDefault="00FF3ED8" w:rsidP="00E67483">
            <w:pPr>
              <w:rPr>
                <w:rFonts w:eastAsia="Arial" w:cs="Arial"/>
                <w:sz w:val="22"/>
              </w:rPr>
            </w:pPr>
            <w:r w:rsidRPr="66F4C0DF">
              <w:rPr>
                <w:rFonts w:eastAsia="Arial" w:cs="Arial"/>
                <w:b/>
                <w:bCs/>
                <w:sz w:val="22"/>
              </w:rPr>
              <w:t>Date for next review: September 202</w:t>
            </w:r>
            <w:r>
              <w:rPr>
                <w:rFonts w:eastAsia="Arial" w:cs="Arial"/>
                <w:b/>
                <w:bCs/>
                <w:sz w:val="22"/>
              </w:rPr>
              <w:t>4</w:t>
            </w:r>
          </w:p>
        </w:tc>
      </w:tr>
    </w:tbl>
    <w:p w14:paraId="4BDF2885" w14:textId="60FD4938" w:rsidR="00243B06" w:rsidRDefault="00243B06" w:rsidP="00FF3ED8"/>
    <w:p w14:paraId="4F7CD829" w14:textId="77777777" w:rsidR="00243B06" w:rsidRDefault="00243B06" w:rsidP="00243B06">
      <w:pPr>
        <w:tabs>
          <w:tab w:val="left" w:pos="1845"/>
        </w:tabs>
        <w:rPr>
          <w:b/>
          <w:bCs/>
          <w:sz w:val="24"/>
          <w:szCs w:val="24"/>
        </w:rPr>
      </w:pPr>
      <w:r w:rsidRPr="25C97376">
        <w:rPr>
          <w:b/>
          <w:bCs/>
          <w:sz w:val="24"/>
          <w:szCs w:val="24"/>
        </w:rPr>
        <w:t xml:space="preserve">Levels of Delegation - Decision or Recommendation                                                                  </w:t>
      </w:r>
    </w:p>
    <w:p w14:paraId="037D79CF" w14:textId="77777777" w:rsidR="00243B06" w:rsidRDefault="00243B06" w:rsidP="00243B06">
      <w:pPr>
        <w:tabs>
          <w:tab w:val="left" w:pos="1845"/>
        </w:tabs>
        <w:rPr>
          <w:b/>
          <w:bCs/>
          <w:sz w:val="24"/>
          <w:szCs w:val="24"/>
        </w:rPr>
      </w:pPr>
      <w:r w:rsidRPr="25C97376">
        <w:rPr>
          <w:sz w:val="22"/>
        </w:rPr>
        <w:t xml:space="preserve">D = </w:t>
      </w:r>
      <w:r w:rsidRPr="25C97376">
        <w:rPr>
          <w:b/>
          <w:bCs/>
          <w:sz w:val="22"/>
        </w:rPr>
        <w:t>decision</w:t>
      </w:r>
      <w:r w:rsidRPr="25C97376">
        <w:rPr>
          <w:sz w:val="22"/>
        </w:rPr>
        <w:t xml:space="preserve"> to be taken by the committee and reported to the full governing board in the minutes.</w:t>
      </w:r>
    </w:p>
    <w:p w14:paraId="7FB6B6AA" w14:textId="77777777" w:rsidR="00243B06" w:rsidRDefault="00243B06" w:rsidP="00243B06">
      <w:pPr>
        <w:tabs>
          <w:tab w:val="left" w:pos="1845"/>
        </w:tabs>
        <w:rPr>
          <w:sz w:val="22"/>
        </w:rPr>
      </w:pPr>
      <w:r w:rsidRPr="25C97376">
        <w:rPr>
          <w:sz w:val="22"/>
        </w:rPr>
        <w:t xml:space="preserve">R = the committee to make a </w:t>
      </w:r>
      <w:r w:rsidRPr="25C97376">
        <w:rPr>
          <w:b/>
          <w:bCs/>
          <w:sz w:val="22"/>
        </w:rPr>
        <w:t>recommendation</w:t>
      </w:r>
      <w:r w:rsidRPr="25C97376">
        <w:rPr>
          <w:sz w:val="22"/>
        </w:rPr>
        <w:t xml:space="preserve"> to the full governing board, who will make the decision.</w:t>
      </w:r>
    </w:p>
    <w:p w14:paraId="1F8A8801" w14:textId="77777777" w:rsidR="00243B06" w:rsidRDefault="00243B06" w:rsidP="00243B06">
      <w:pPr>
        <w:pStyle w:val="bullets"/>
        <w:tabs>
          <w:tab w:val="left" w:pos="1845"/>
        </w:tabs>
        <w:spacing w:after="113" w:line="240" w:lineRule="auto"/>
        <w:ind w:left="0" w:firstLine="0"/>
        <w:rPr>
          <w:rFonts w:ascii="Arial" w:hAnsi="Arial" w:cs="Arial"/>
          <w:i/>
          <w:iCs/>
          <w:color w:val="4F81BD" w:themeColor="accent1"/>
          <w:sz w:val="18"/>
          <w:szCs w:val="18"/>
        </w:rPr>
      </w:pPr>
      <w:r w:rsidRPr="25C97376">
        <w:rPr>
          <w:rFonts w:ascii="Arial" w:hAnsi="Arial" w:cs="Arial"/>
          <w:i/>
          <w:iCs/>
          <w:color w:val="4F81BD" w:themeColor="accent1"/>
          <w:sz w:val="18"/>
          <w:szCs w:val="18"/>
        </w:rPr>
        <w:t>Note from The Governance Consultancy Team: The level of delegated decision making given to a committee needs to be agreed by the full governing board.  Full delegation (within legal requirements) is suggested within these terms of reference,  but you may wish to  set different levels with the committee making more recommendations and fewer decisions.  Whatever you decide, make sure there is no duplication between the work of the committee and the full governing board.  All delegated decisions must be reported to the full governing board through the minutes from the committee.</w:t>
      </w:r>
    </w:p>
    <w:p w14:paraId="6FC13A8E" w14:textId="77777777" w:rsidR="00243B06" w:rsidRDefault="00243B06" w:rsidP="00FF3ED8"/>
    <w:sectPr w:rsidR="00243B06" w:rsidSect="00E9296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R Frutiger 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2BF1"/>
    <w:multiLevelType w:val="hybridMultilevel"/>
    <w:tmpl w:val="2FA65D34"/>
    <w:lvl w:ilvl="0" w:tplc="8ACAD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5B3164"/>
    <w:multiLevelType w:val="hybridMultilevel"/>
    <w:tmpl w:val="59823BA2"/>
    <w:lvl w:ilvl="0" w:tplc="46A0B52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77"/>
    <w:rsid w:val="000C1FA8"/>
    <w:rsid w:val="00101418"/>
    <w:rsid w:val="001929FD"/>
    <w:rsid w:val="00243B06"/>
    <w:rsid w:val="00407C5F"/>
    <w:rsid w:val="00462B98"/>
    <w:rsid w:val="004A30CA"/>
    <w:rsid w:val="00761693"/>
    <w:rsid w:val="007E70E1"/>
    <w:rsid w:val="009F1296"/>
    <w:rsid w:val="00A86DAC"/>
    <w:rsid w:val="00C33277"/>
    <w:rsid w:val="00CD401D"/>
    <w:rsid w:val="00DD4A55"/>
    <w:rsid w:val="00E92963"/>
    <w:rsid w:val="00FF3ED8"/>
    <w:rsid w:val="17B2AD41"/>
    <w:rsid w:val="36C01A42"/>
    <w:rsid w:val="46680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C58C9"/>
  <w14:defaultImageDpi w14:val="300"/>
  <w15:docId w15:val="{5B847E95-2307-4DCB-80BD-C5A0E427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277"/>
    <w:pPr>
      <w:spacing w:after="200" w:line="276" w:lineRule="auto"/>
    </w:pPr>
    <w:rPr>
      <w:rFonts w:ascii="Arial" w:eastAsiaTheme="minorHAnsi" w:hAnsi="Arial"/>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277"/>
    <w:pPr>
      <w:ind w:left="720"/>
      <w:contextualSpacing/>
    </w:pPr>
  </w:style>
  <w:style w:type="table" w:styleId="TableGrid">
    <w:name w:val="Table Grid"/>
    <w:basedOn w:val="TableNormal"/>
    <w:uiPriority w:val="59"/>
    <w:rsid w:val="00C33277"/>
    <w:rPr>
      <w:rFonts w:ascii="Arial" w:eastAsiaTheme="minorHAnsi" w:hAnsi="Arial"/>
      <w:sz w:val="20"/>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rsid w:val="00243B06"/>
    <w:pPr>
      <w:tabs>
        <w:tab w:val="left" w:pos="907"/>
      </w:tabs>
      <w:overflowPunct w:val="0"/>
      <w:autoSpaceDE w:val="0"/>
      <w:autoSpaceDN w:val="0"/>
      <w:adjustRightInd w:val="0"/>
      <w:spacing w:after="170" w:line="280" w:lineRule="exact"/>
      <w:ind w:left="566" w:hanging="284"/>
      <w:textAlignment w:val="baseline"/>
    </w:pPr>
    <w:rPr>
      <w:rFonts w:ascii="R Frutiger Roman" w:eastAsia="Times New Roman" w:hAnsi="R Frutiger Roman" w:cs="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6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219ACCB1944843AB2810EA30588373" ma:contentTypeVersion="10" ma:contentTypeDescription="Create a new document." ma:contentTypeScope="" ma:versionID="af1678637a3a32c45b57bb2b10ce0639">
  <xsd:schema xmlns:xsd="http://www.w3.org/2001/XMLSchema" xmlns:xs="http://www.w3.org/2001/XMLSchema" xmlns:p="http://schemas.microsoft.com/office/2006/metadata/properties" xmlns:ns3="8c7c7d55-995e-486e-8201-cb7938c66e2e" targetNamespace="http://schemas.microsoft.com/office/2006/metadata/properties" ma:root="true" ma:fieldsID="ab6a2f96fe0841d0fa3f6cb5ef6eb1f1" ns3:_="">
    <xsd:import namespace="8c7c7d55-995e-486e-8201-cb7938c66e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c7d55-995e-486e-8201-cb7938c66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48487-06DA-42A6-8F2E-5B9F51BB4824}">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8c7c7d55-995e-486e-8201-cb7938c66e2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D744523-04B0-4CE2-8298-862CEB546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c7d55-995e-486e-8201-cb7938c6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4974C-D623-4121-AC68-D69906841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dc:description/>
  <cp:lastModifiedBy>Synge, Tim</cp:lastModifiedBy>
  <cp:revision>4</cp:revision>
  <dcterms:created xsi:type="dcterms:W3CDTF">2023-08-25T13:12:00Z</dcterms:created>
  <dcterms:modified xsi:type="dcterms:W3CDTF">2023-10-16T15:30:00Z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0x01010003219ACCB1944843AB2810EA30588373</vt:lpwstr>
  </property>
</Properties>
</file>